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permStart w:id="1045910321" w:edGrp="everyone"/>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permEnd w:id="1045910321"/>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46872AEF"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p>
    <w:tbl>
      <w:tblPr>
        <w:tblStyle w:val="GridTable1Light-Accent1"/>
        <w:tblW w:w="5000" w:type="pct"/>
        <w:tblLook w:val="01E0" w:firstRow="1" w:lastRow="1" w:firstColumn="1" w:lastColumn="1" w:noHBand="0" w:noVBand="0"/>
      </w:tblPr>
      <w:tblGrid>
        <w:gridCol w:w="2380"/>
        <w:gridCol w:w="1930"/>
        <w:gridCol w:w="1342"/>
        <w:gridCol w:w="4452"/>
        <w:gridCol w:w="1579"/>
        <w:gridCol w:w="2265"/>
      </w:tblGrid>
      <w:tr w:rsidR="00420C22" w:rsidRPr="00766582" w14:paraId="5D602948" w14:textId="77777777" w:rsidTr="007E2F6C">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596"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66"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81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E2F6C">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50242344" w:rsidR="00420C22" w:rsidRPr="00766582" w:rsidRDefault="000C6E40" w:rsidP="00303E08">
            <w:pPr>
              <w:rPr>
                <w:rFonts w:ascii="Arial" w:hAnsi="Arial" w:cs="Arial"/>
                <w:snapToGrid w:val="0"/>
                <w:color w:val="000000"/>
              </w:rPr>
            </w:pPr>
            <w:r>
              <w:t xml:space="preserve">Provide CIC </w:t>
            </w:r>
          </w:p>
        </w:tc>
        <w:tc>
          <w:tcPr>
            <w:tcW w:w="692" w:type="pct"/>
          </w:tcPr>
          <w:p w14:paraId="02EB378F" w14:textId="02A668A6" w:rsidR="00420C22" w:rsidRPr="00766582" w:rsidRDefault="000C6E40"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t>900 The Crescent, Colchester, Essex, CO4 9YQ</w:t>
            </w:r>
          </w:p>
        </w:tc>
        <w:tc>
          <w:tcPr>
            <w:tcW w:w="481" w:type="pct"/>
          </w:tcPr>
          <w:p w14:paraId="6A05A809" w14:textId="16F7A819" w:rsidR="00420C22" w:rsidRPr="00766582" w:rsidRDefault="000C6E40"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t>0300 303 9999</w:t>
            </w:r>
          </w:p>
        </w:tc>
        <w:tc>
          <w:tcPr>
            <w:tcW w:w="1596" w:type="pct"/>
          </w:tcPr>
          <w:p w14:paraId="5A39BBE3" w14:textId="58664E2D" w:rsidR="00420C22" w:rsidRPr="009F0B18" w:rsidRDefault="002904EA"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7C6992" w:rsidRPr="00197448">
                <w:rPr>
                  <w:rStyle w:val="Hyperlink"/>
                </w:rPr>
                <w:t>Provide.infogov@nhs.net</w:t>
              </w:r>
            </w:hyperlink>
            <w:r w:rsidR="007C6992">
              <w:t xml:space="preserve"> </w:t>
            </w:r>
          </w:p>
        </w:tc>
        <w:tc>
          <w:tcPr>
            <w:tcW w:w="566" w:type="pct"/>
          </w:tcPr>
          <w:p w14:paraId="41C8F396" w14:textId="0C7A4726" w:rsidR="00420C22" w:rsidRPr="00766582" w:rsidRDefault="000C6E40"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 xml:space="preserve">Petra </w:t>
            </w:r>
            <w:proofErr w:type="spellStart"/>
            <w:r>
              <w:rPr>
                <w:rFonts w:ascii="Arial" w:hAnsi="Arial" w:cs="Arial"/>
                <w:snapToGrid w:val="0"/>
                <w:color w:val="000000"/>
              </w:rPr>
              <w:t>Lastivkova</w:t>
            </w:r>
            <w:proofErr w:type="spellEnd"/>
          </w:p>
        </w:tc>
        <w:tc>
          <w:tcPr>
            <w:cnfStyle w:val="000100000000" w:firstRow="0" w:lastRow="0" w:firstColumn="0" w:lastColumn="1" w:oddVBand="0" w:evenVBand="0" w:oddHBand="0" w:evenHBand="0" w:firstRowFirstColumn="0" w:firstRowLastColumn="0" w:lastRowFirstColumn="0" w:lastRowLastColumn="0"/>
            <w:tcW w:w="812" w:type="pct"/>
          </w:tcPr>
          <w:p w14:paraId="72A3D3EC" w14:textId="5B4490D6" w:rsidR="00420C22" w:rsidRPr="00194274" w:rsidRDefault="002303F8" w:rsidP="00303E08">
            <w:pPr>
              <w:rPr>
                <w:rFonts w:ascii="Arial" w:hAnsi="Arial" w:cs="Arial"/>
                <w:b w:val="0"/>
                <w:bCs w:val="0"/>
                <w:snapToGrid w:val="0"/>
                <w:color w:val="000000"/>
              </w:rPr>
            </w:pPr>
            <w:r w:rsidRPr="00194274">
              <w:rPr>
                <w:rFonts w:ascii="Arial" w:hAnsi="Arial" w:cs="Arial"/>
                <w:b w:val="0"/>
                <w:bCs w:val="0"/>
                <w:snapToGrid w:val="0"/>
                <w:color w:val="000000"/>
              </w:rPr>
              <w:t>Z2604172</w:t>
            </w:r>
          </w:p>
        </w:tc>
      </w:tr>
      <w:tr w:rsidR="00420C22" w:rsidRPr="00766582" w14:paraId="0D0B940D" w14:textId="77777777" w:rsidTr="007E2F6C">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5E31B17D" w:rsidR="00420C22" w:rsidRPr="00766582" w:rsidRDefault="006D13F0" w:rsidP="00303E08">
            <w:pPr>
              <w:rPr>
                <w:rFonts w:ascii="Arial" w:hAnsi="Arial" w:cs="Arial"/>
                <w:snapToGrid w:val="0"/>
                <w:color w:val="000000"/>
              </w:rPr>
            </w:pPr>
            <w:r>
              <w:rPr>
                <w:rFonts w:ascii="Arial" w:hAnsi="Arial" w:cs="Arial"/>
                <w:snapToGrid w:val="0"/>
                <w:color w:val="000000"/>
              </w:rPr>
              <w:t>Essex County council (ECC)</w:t>
            </w:r>
          </w:p>
        </w:tc>
        <w:tc>
          <w:tcPr>
            <w:tcW w:w="692" w:type="pct"/>
          </w:tcPr>
          <w:p w14:paraId="60061E4C" w14:textId="36D0594A" w:rsidR="00420C22" w:rsidRPr="00766582" w:rsidRDefault="00194274"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County Hall, Market Road, Chelmsford, Essex, CM1 1QH</w:t>
            </w:r>
          </w:p>
        </w:tc>
        <w:tc>
          <w:tcPr>
            <w:tcW w:w="481" w:type="pct"/>
          </w:tcPr>
          <w:p w14:paraId="44EAFD9C" w14:textId="0CFFF721" w:rsidR="00420C22" w:rsidRPr="00766582" w:rsidRDefault="00194274"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0845 430430</w:t>
            </w:r>
          </w:p>
        </w:tc>
        <w:tc>
          <w:tcPr>
            <w:tcW w:w="1596" w:type="pct"/>
          </w:tcPr>
          <w:p w14:paraId="751AB66C" w14:textId="1D185462" w:rsidR="008D7640" w:rsidRPr="008D7640" w:rsidRDefault="002904EA" w:rsidP="008D7640">
            <w:pPr>
              <w:cnfStyle w:val="000000000000" w:firstRow="0" w:lastRow="0" w:firstColumn="0" w:lastColumn="0" w:oddVBand="0" w:evenVBand="0" w:oddHBand="0" w:evenHBand="0" w:firstRowFirstColumn="0" w:firstRowLastColumn="0" w:lastRowFirstColumn="0" w:lastRowLastColumn="0"/>
            </w:pPr>
            <w:hyperlink r:id="rId13" w:history="1">
              <w:r w:rsidR="00194274" w:rsidRPr="00197448">
                <w:rPr>
                  <w:rStyle w:val="Hyperlink"/>
                </w:rPr>
                <w:t>DPO@essex-gov.uk</w:t>
              </w:r>
            </w:hyperlink>
            <w:r w:rsidR="00194274">
              <w:rPr>
                <w:rStyle w:val="Hyperlink"/>
              </w:rPr>
              <w:t xml:space="preserve"> </w:t>
            </w:r>
          </w:p>
          <w:p w14:paraId="4B94D5A5" w14:textId="77777777" w:rsidR="00420C22" w:rsidRPr="008D7640" w:rsidRDefault="00420C22"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66" w:type="pct"/>
          </w:tcPr>
          <w:p w14:paraId="3DEEC669" w14:textId="1D0E3042" w:rsidR="00420C22" w:rsidRPr="00766582" w:rsidRDefault="00194274"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812" w:type="pct"/>
          </w:tcPr>
          <w:p w14:paraId="3656B9AB" w14:textId="4E3FC8C1" w:rsidR="00420C22" w:rsidRPr="00194274" w:rsidRDefault="00194274" w:rsidP="00303E08">
            <w:pPr>
              <w:rPr>
                <w:rFonts w:ascii="Arial" w:hAnsi="Arial" w:cs="Arial"/>
                <w:b w:val="0"/>
                <w:bCs w:val="0"/>
                <w:snapToGrid w:val="0"/>
                <w:color w:val="000000"/>
              </w:rPr>
            </w:pPr>
            <w:r w:rsidRPr="00194274">
              <w:rPr>
                <w:rFonts w:ascii="Arial" w:hAnsi="Arial" w:cs="Arial"/>
                <w:b w:val="0"/>
                <w:bCs w:val="0"/>
                <w:snapToGrid w:val="0"/>
                <w:color w:val="000000"/>
              </w:rPr>
              <w:t>Z6034810</w:t>
            </w:r>
          </w:p>
        </w:tc>
      </w:tr>
      <w:tr w:rsidR="004F66DD" w:rsidRPr="00766582" w14:paraId="7C10521F" w14:textId="77777777" w:rsidTr="007E2F6C">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4F66DD" w:rsidRPr="00766582" w:rsidRDefault="004F66DD" w:rsidP="00303E08">
            <w:pPr>
              <w:rPr>
                <w:rFonts w:ascii="Arial" w:hAnsi="Arial" w:cs="Arial"/>
                <w:snapToGrid w:val="0"/>
                <w:color w:val="000000"/>
              </w:rPr>
            </w:pPr>
          </w:p>
        </w:tc>
        <w:tc>
          <w:tcPr>
            <w:tcW w:w="692" w:type="pct"/>
          </w:tcPr>
          <w:p w14:paraId="4E4AEAB0"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596" w:type="pct"/>
          </w:tcPr>
          <w:p w14:paraId="295CE87E"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6" w:type="pct"/>
          </w:tcPr>
          <w:p w14:paraId="6C4FE843"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812" w:type="pct"/>
          </w:tcPr>
          <w:p w14:paraId="508E3EE9" w14:textId="77777777" w:rsidR="004F66DD" w:rsidRPr="00766582" w:rsidRDefault="004F66DD" w:rsidP="00303E0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6941"/>
        <w:gridCol w:w="7007"/>
      </w:tblGrid>
      <w:tr w:rsidR="00BE723F" w:rsidRPr="00766582" w14:paraId="39648039" w14:textId="77777777" w:rsidTr="00BE723F">
        <w:tc>
          <w:tcPr>
            <w:tcW w:w="2488" w:type="pct"/>
          </w:tcPr>
          <w:p w14:paraId="3077EDF4"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Agreement comes into force</w:t>
            </w:r>
          </w:p>
        </w:tc>
        <w:tc>
          <w:tcPr>
            <w:tcW w:w="2512" w:type="pct"/>
          </w:tcPr>
          <w:p w14:paraId="03F06BCE" w14:textId="5A1208E1" w:rsidR="00BE723F" w:rsidRPr="00766582" w:rsidRDefault="002A414C" w:rsidP="00BB0EDF">
            <w:pPr>
              <w:rPr>
                <w:rFonts w:ascii="Arial" w:hAnsi="Arial" w:cs="Arial"/>
                <w:snapToGrid w:val="0"/>
                <w:color w:val="000000"/>
              </w:rPr>
            </w:pPr>
            <w:r>
              <w:rPr>
                <w:rFonts w:ascii="Arial" w:hAnsi="Arial" w:cs="Arial"/>
                <w:snapToGrid w:val="0"/>
                <w:color w:val="000000"/>
              </w:rPr>
              <w:t xml:space="preserve">April </w:t>
            </w:r>
            <w:r w:rsidR="00F71688">
              <w:rPr>
                <w:rFonts w:ascii="Arial" w:hAnsi="Arial" w:cs="Arial"/>
                <w:snapToGrid w:val="0"/>
                <w:color w:val="000000"/>
              </w:rPr>
              <w:t>2022</w:t>
            </w:r>
          </w:p>
        </w:tc>
      </w:tr>
      <w:tr w:rsidR="00BE723F" w:rsidRPr="00766582" w14:paraId="22EC4A84" w14:textId="77777777" w:rsidTr="00BE723F">
        <w:tc>
          <w:tcPr>
            <w:tcW w:w="2488" w:type="pct"/>
          </w:tcPr>
          <w:p w14:paraId="5F97E1FF"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of Agreement review</w:t>
            </w:r>
          </w:p>
        </w:tc>
        <w:tc>
          <w:tcPr>
            <w:tcW w:w="2512" w:type="pct"/>
          </w:tcPr>
          <w:p w14:paraId="60C5E4ED" w14:textId="51AB6A28" w:rsidR="00BE723F" w:rsidRPr="00766582" w:rsidRDefault="002A414C" w:rsidP="00BB0EDF">
            <w:pPr>
              <w:rPr>
                <w:rFonts w:ascii="Arial" w:hAnsi="Arial" w:cs="Arial"/>
                <w:snapToGrid w:val="0"/>
                <w:color w:val="000000"/>
              </w:rPr>
            </w:pPr>
            <w:r>
              <w:rPr>
                <w:rFonts w:ascii="Arial" w:hAnsi="Arial" w:cs="Arial"/>
                <w:snapToGrid w:val="0"/>
                <w:color w:val="000000"/>
              </w:rPr>
              <w:t xml:space="preserve">April </w:t>
            </w:r>
            <w:r w:rsidR="006D13F0">
              <w:rPr>
                <w:rFonts w:ascii="Arial" w:hAnsi="Arial" w:cs="Arial"/>
                <w:snapToGrid w:val="0"/>
                <w:color w:val="000000"/>
              </w:rPr>
              <w:t>2025</w:t>
            </w:r>
          </w:p>
        </w:tc>
      </w:tr>
      <w:tr w:rsidR="00BE723F" w:rsidRPr="00766582" w14:paraId="2E6477CC" w14:textId="77777777" w:rsidTr="00BE723F">
        <w:tc>
          <w:tcPr>
            <w:tcW w:w="2488" w:type="pct"/>
          </w:tcPr>
          <w:p w14:paraId="5DF36B70"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owner (Organisation)</w:t>
            </w:r>
          </w:p>
        </w:tc>
        <w:tc>
          <w:tcPr>
            <w:tcW w:w="2512" w:type="pct"/>
          </w:tcPr>
          <w:p w14:paraId="5E6D9E73" w14:textId="6EDA8D40" w:rsidR="00BE723F" w:rsidRPr="00766582" w:rsidRDefault="006D13F0" w:rsidP="00BB0EDF">
            <w:pPr>
              <w:rPr>
                <w:rFonts w:ascii="Arial" w:hAnsi="Arial" w:cs="Arial"/>
                <w:snapToGrid w:val="0"/>
                <w:color w:val="000000"/>
              </w:rPr>
            </w:pPr>
            <w:r>
              <w:rPr>
                <w:rFonts w:ascii="Arial" w:hAnsi="Arial" w:cs="Arial"/>
                <w:snapToGrid w:val="0"/>
                <w:color w:val="000000"/>
              </w:rPr>
              <w:t xml:space="preserve">Provide </w:t>
            </w:r>
          </w:p>
        </w:tc>
      </w:tr>
      <w:tr w:rsidR="00BE723F" w:rsidRPr="00766582" w14:paraId="61BD1B58" w14:textId="77777777" w:rsidTr="00BE723F">
        <w:tc>
          <w:tcPr>
            <w:tcW w:w="2488" w:type="pct"/>
          </w:tcPr>
          <w:p w14:paraId="5F5494AA"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drawn up by</w:t>
            </w:r>
            <w:r>
              <w:rPr>
                <w:rFonts w:ascii="Arial" w:hAnsi="Arial" w:cs="Arial"/>
                <w:b/>
                <w:snapToGrid w:val="0"/>
                <w:color w:val="000000"/>
              </w:rPr>
              <w:t xml:space="preserve"> (</w:t>
            </w:r>
            <w:r w:rsidRPr="00595500">
              <w:rPr>
                <w:rFonts w:ascii="Arial" w:hAnsi="Arial" w:cs="Arial"/>
                <w:b/>
                <w:snapToGrid w:val="0"/>
                <w:color w:val="000000"/>
              </w:rPr>
              <w:t>Author(s)</w:t>
            </w:r>
            <w:r>
              <w:rPr>
                <w:rFonts w:ascii="Arial" w:hAnsi="Arial" w:cs="Arial"/>
                <w:b/>
                <w:snapToGrid w:val="0"/>
                <w:color w:val="000000"/>
              </w:rPr>
              <w:t>)</w:t>
            </w:r>
          </w:p>
        </w:tc>
        <w:tc>
          <w:tcPr>
            <w:tcW w:w="2512" w:type="pct"/>
          </w:tcPr>
          <w:p w14:paraId="4AD82981" w14:textId="3EC618A4" w:rsidR="00BE723F" w:rsidRPr="00766582" w:rsidRDefault="006E6569" w:rsidP="00BB0EDF">
            <w:pPr>
              <w:rPr>
                <w:rFonts w:ascii="Arial" w:hAnsi="Arial" w:cs="Arial"/>
                <w:snapToGrid w:val="0"/>
                <w:color w:val="000000"/>
              </w:rPr>
            </w:pPr>
            <w:r>
              <w:rPr>
                <w:rFonts w:ascii="Arial" w:hAnsi="Arial" w:cs="Arial"/>
                <w:snapToGrid w:val="0"/>
                <w:color w:val="000000"/>
              </w:rPr>
              <w:t xml:space="preserve">Helen </w:t>
            </w:r>
            <w:proofErr w:type="spellStart"/>
            <w:r>
              <w:rPr>
                <w:rFonts w:ascii="Arial" w:hAnsi="Arial" w:cs="Arial"/>
                <w:snapToGrid w:val="0"/>
                <w:color w:val="000000"/>
              </w:rPr>
              <w:t>McRorie</w:t>
            </w:r>
            <w:proofErr w:type="spellEnd"/>
            <w:r w:rsidR="006D13F0">
              <w:rPr>
                <w:rFonts w:ascii="Arial" w:hAnsi="Arial" w:cs="Arial"/>
                <w:snapToGrid w:val="0"/>
                <w:color w:val="000000"/>
              </w:rPr>
              <w:t xml:space="preserve"> </w:t>
            </w:r>
            <w:r w:rsidR="002A414C">
              <w:rPr>
                <w:rFonts w:ascii="Arial" w:hAnsi="Arial" w:cs="Arial"/>
                <w:snapToGrid w:val="0"/>
                <w:color w:val="000000"/>
              </w:rPr>
              <w:t>(Provide) and Gemma Gibbs (Senior Information Governance Officer, ECC)</w:t>
            </w:r>
          </w:p>
        </w:tc>
      </w:tr>
      <w:tr w:rsidR="00BE723F" w:rsidRPr="00766582" w14:paraId="740732CC" w14:textId="77777777" w:rsidTr="00C1150D">
        <w:trPr>
          <w:trHeight w:val="256"/>
        </w:trPr>
        <w:tc>
          <w:tcPr>
            <w:tcW w:w="2488" w:type="pct"/>
          </w:tcPr>
          <w:p w14:paraId="2ECEE4DF"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Status of document – DRAFT/FOR APPROVAL/APPROVED</w:t>
            </w:r>
          </w:p>
        </w:tc>
        <w:tc>
          <w:tcPr>
            <w:tcW w:w="2512" w:type="pct"/>
          </w:tcPr>
          <w:p w14:paraId="522F1A0C" w14:textId="7F423DC1" w:rsidR="00BE723F" w:rsidRPr="00766582" w:rsidRDefault="00DA7C52"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BE723F">
        <w:trPr>
          <w:trHeight w:val="218"/>
        </w:trPr>
        <w:tc>
          <w:tcPr>
            <w:tcW w:w="2488" w:type="pct"/>
          </w:tcPr>
          <w:p w14:paraId="5334A04A"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 xml:space="preserve">Version </w:t>
            </w:r>
          </w:p>
        </w:tc>
        <w:tc>
          <w:tcPr>
            <w:tcW w:w="2512" w:type="pct"/>
          </w:tcPr>
          <w:p w14:paraId="24F60B2E" w14:textId="0889B852" w:rsidR="00BE723F" w:rsidRPr="00766582" w:rsidRDefault="006D13F0" w:rsidP="00BB0EDF">
            <w:pPr>
              <w:rPr>
                <w:rFonts w:ascii="Arial" w:hAnsi="Arial" w:cs="Arial"/>
                <w:snapToGrid w:val="0"/>
                <w:color w:val="000000"/>
              </w:rPr>
            </w:pPr>
            <w:r>
              <w:rPr>
                <w:rFonts w:ascii="Arial" w:hAnsi="Arial" w:cs="Arial"/>
                <w:snapToGrid w:val="0"/>
                <w:color w:val="000000"/>
              </w:rPr>
              <w:t>V1</w:t>
            </w:r>
          </w:p>
        </w:tc>
      </w:tr>
    </w:tbl>
    <w:p w14:paraId="023A1294" w14:textId="77777777" w:rsidR="0081737E" w:rsidRDefault="0081737E" w:rsidP="00333A42">
      <w:pPr>
        <w:spacing w:after="0" w:line="240" w:lineRule="auto"/>
        <w:jc w:val="both"/>
        <w:rPr>
          <w:rFonts w:ascii="Arial" w:hAnsi="Arial" w:cs="Arial"/>
          <w:b/>
          <w:bCs/>
          <w:color w:val="003399"/>
          <w:sz w:val="40"/>
          <w:szCs w:val="40"/>
        </w:rPr>
      </w:pPr>
    </w:p>
    <w:p w14:paraId="3279EAA5" w14:textId="77777777" w:rsidR="0081737E" w:rsidRDefault="0081737E" w:rsidP="00333A42">
      <w:pPr>
        <w:spacing w:after="0" w:line="240" w:lineRule="auto"/>
        <w:jc w:val="both"/>
        <w:rPr>
          <w:rFonts w:ascii="Arial" w:hAnsi="Arial" w:cs="Arial"/>
          <w:b/>
          <w:bCs/>
          <w:color w:val="003399"/>
          <w:sz w:val="40"/>
          <w:szCs w:val="40"/>
        </w:rPr>
      </w:pPr>
    </w:p>
    <w:p w14:paraId="442EFA16" w14:textId="77777777" w:rsidR="0081737E" w:rsidRDefault="0081737E" w:rsidP="00333A42">
      <w:pPr>
        <w:spacing w:after="0" w:line="240" w:lineRule="auto"/>
        <w:jc w:val="both"/>
        <w:rPr>
          <w:rFonts w:ascii="Arial" w:hAnsi="Arial" w:cs="Arial"/>
          <w:b/>
          <w:bCs/>
          <w:color w:val="003399"/>
          <w:sz w:val="40"/>
          <w:szCs w:val="40"/>
        </w:rPr>
      </w:pPr>
    </w:p>
    <w:p w14:paraId="1584AAEE" w14:textId="77777777" w:rsidR="0081737E" w:rsidRDefault="0081737E" w:rsidP="00333A42">
      <w:pPr>
        <w:spacing w:after="0" w:line="240" w:lineRule="auto"/>
        <w:jc w:val="both"/>
        <w:rPr>
          <w:rFonts w:ascii="Arial" w:hAnsi="Arial" w:cs="Arial"/>
          <w:b/>
          <w:bCs/>
          <w:color w:val="003399"/>
          <w:sz w:val="40"/>
          <w:szCs w:val="40"/>
        </w:rPr>
      </w:pPr>
    </w:p>
    <w:p w14:paraId="5567556E" w14:textId="77777777" w:rsidR="0081737E" w:rsidRDefault="0081737E" w:rsidP="00333A42">
      <w:pPr>
        <w:spacing w:after="0" w:line="240" w:lineRule="auto"/>
        <w:jc w:val="both"/>
        <w:rPr>
          <w:rFonts w:ascii="Arial" w:hAnsi="Arial" w:cs="Arial"/>
          <w:b/>
          <w:bCs/>
          <w:color w:val="003399"/>
          <w:sz w:val="40"/>
          <w:szCs w:val="40"/>
        </w:rPr>
      </w:pPr>
    </w:p>
    <w:p w14:paraId="13F2ED95" w14:textId="78453466"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6DFB34FB"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p>
    <w:p w14:paraId="5EF4DB5E" w14:textId="7D885282" w:rsidR="00333A42" w:rsidRDefault="00333A42" w:rsidP="00333A42">
      <w:p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47F901C"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transparency for individuals whose data you wish to share as protocols are published </w:t>
      </w:r>
      <w:proofErr w:type="gramStart"/>
      <w:r w:rsidRPr="517037B7">
        <w:rPr>
          <w:rFonts w:ascii="Arial" w:hAnsi="Arial" w:cs="Arial"/>
          <w:sz w:val="24"/>
          <w:szCs w:val="24"/>
        </w:rPr>
        <w:t>here;</w:t>
      </w:r>
      <w:proofErr w:type="gramEnd"/>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1"/>
        <w:gridCol w:w="3919"/>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303E08">
        <w:tc>
          <w:tcPr>
            <w:tcW w:w="6771" w:type="dxa"/>
          </w:tcPr>
          <w:p w14:paraId="2774B478" w14:textId="77777777" w:rsidR="00333A42" w:rsidRPr="008C4928" w:rsidRDefault="00333A42" w:rsidP="00303E08">
            <w:pPr>
              <w:rPr>
                <w:rFonts w:ascii="Arial" w:hAnsi="Arial" w:cs="Arial"/>
                <w:sz w:val="24"/>
                <w:szCs w:val="24"/>
              </w:rPr>
            </w:pPr>
            <w:r w:rsidRPr="006C7450">
              <w:rPr>
                <w:rFonts w:ascii="Arial" w:hAnsi="Arial" w:cs="Arial"/>
                <w:sz w:val="24"/>
                <w:szCs w:val="24"/>
              </w:rPr>
              <w:t>Privacy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(PIA/DPIA)</w:t>
            </w:r>
          </w:p>
        </w:tc>
        <w:tc>
          <w:tcPr>
            <w:tcW w:w="3402" w:type="dxa"/>
          </w:tcPr>
          <w:p w14:paraId="61829076" w14:textId="77777777" w:rsidR="00333A42" w:rsidRPr="008C4928" w:rsidRDefault="00333A42" w:rsidP="00303E08">
            <w:pPr>
              <w:rPr>
                <w:rFonts w:ascii="Arial" w:hAnsi="Arial" w:cs="Arial"/>
                <w:sz w:val="24"/>
                <w:szCs w:val="24"/>
              </w:rPr>
            </w:pPr>
          </w:p>
        </w:tc>
        <w:tc>
          <w:tcPr>
            <w:tcW w:w="3969" w:type="dxa"/>
          </w:tcPr>
          <w:p w14:paraId="2BA226A1" w14:textId="77777777" w:rsidR="00333A42" w:rsidRPr="008C4928" w:rsidRDefault="00333A42" w:rsidP="00303E08">
            <w:pPr>
              <w:rPr>
                <w:rFonts w:ascii="Arial" w:hAnsi="Arial" w:cs="Arial"/>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77777777" w:rsidR="00333A42" w:rsidRPr="008C4928" w:rsidRDefault="00333A42" w:rsidP="00303E08">
            <w:pPr>
              <w:rPr>
                <w:rFonts w:ascii="Arial" w:hAnsi="Arial" w:cs="Arial"/>
                <w:sz w:val="24"/>
                <w:szCs w:val="24"/>
              </w:rPr>
            </w:pP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77777777" w:rsidR="00333A42" w:rsidRPr="008C4928" w:rsidRDefault="00333A42" w:rsidP="00303E08">
            <w:pPr>
              <w:rPr>
                <w:rFonts w:ascii="Arial" w:hAnsi="Arial" w:cs="Arial"/>
                <w:sz w:val="24"/>
                <w:szCs w:val="24"/>
              </w:rPr>
            </w:pPr>
          </w:p>
        </w:tc>
        <w:tc>
          <w:tcPr>
            <w:tcW w:w="3969"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77777777"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77777777"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45753637" w14:textId="77777777" w:rsidR="0081737E" w:rsidRDefault="0081737E" w:rsidP="0081737E">
      <w:pPr>
        <w:pStyle w:val="Heading1"/>
        <w:spacing w:after="0"/>
        <w:rPr>
          <w:rStyle w:val="Hyperlink"/>
          <w:color w:val="auto"/>
          <w:sz w:val="52"/>
          <w:szCs w:val="24"/>
        </w:rPr>
      </w:pPr>
    </w:p>
    <w:p w14:paraId="6734491A" w14:textId="4FE2A8DE" w:rsidR="00297DF8" w:rsidRPr="00B530EC" w:rsidRDefault="00297DF8" w:rsidP="00297DF8">
      <w:pPr>
        <w:pStyle w:val="Heading1"/>
        <w:rPr>
          <w:rStyle w:val="Hyperlink"/>
          <w:color w:val="auto"/>
          <w:sz w:val="52"/>
          <w:szCs w:val="24"/>
        </w:rPr>
      </w:pPr>
      <w:r w:rsidRPr="00B530EC">
        <w:rPr>
          <w:rStyle w:val="Hyperlink"/>
          <w:color w:val="auto"/>
          <w:sz w:val="52"/>
          <w:szCs w:val="24"/>
        </w:rPr>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511073">
        <w:trPr>
          <w:trHeight w:val="44"/>
        </w:trPr>
        <w:tc>
          <w:tcPr>
            <w:tcW w:w="13948" w:type="dxa"/>
          </w:tcPr>
          <w:p w14:paraId="764940A2" w14:textId="4FE901B9" w:rsidR="00194274" w:rsidRDefault="002904EA" w:rsidP="006010FD">
            <w:pPr>
              <w:jc w:val="both"/>
              <w:rPr>
                <w:rFonts w:ascii="Arial" w:eastAsia="Times New Roman" w:hAnsi="Arial" w:cs="Arial"/>
                <w:bCs/>
                <w:iCs/>
                <w:color w:val="000000" w:themeColor="text1"/>
                <w:lang w:val="en"/>
              </w:rPr>
            </w:pPr>
            <w:hyperlink r:id="rId14" w:history="1">
              <w:r w:rsidR="00194274" w:rsidRPr="00A41285">
                <w:rPr>
                  <w:rStyle w:val="Hyperlink"/>
                  <w:rFonts w:ascii="Arial" w:eastAsia="Times New Roman" w:hAnsi="Arial" w:cs="Arial"/>
                  <w:bCs/>
                  <w:iCs/>
                  <w:lang w:val="en"/>
                </w:rPr>
                <w:t>The National Child Measurement Programme (NCMP</w:t>
              </w:r>
            </w:hyperlink>
            <w:r w:rsidR="00194274">
              <w:rPr>
                <w:rFonts w:ascii="Arial" w:eastAsia="Times New Roman" w:hAnsi="Arial" w:cs="Arial"/>
                <w:bCs/>
                <w:iCs/>
                <w:color w:val="000000" w:themeColor="text1"/>
                <w:lang w:val="en"/>
              </w:rPr>
              <w:t xml:space="preserve">) is a nationally mandated public health </w:t>
            </w:r>
            <w:proofErr w:type="spellStart"/>
            <w:r w:rsidR="00194274">
              <w:rPr>
                <w:rFonts w:ascii="Arial" w:eastAsia="Times New Roman" w:hAnsi="Arial" w:cs="Arial"/>
                <w:bCs/>
                <w:iCs/>
                <w:color w:val="000000" w:themeColor="text1"/>
                <w:lang w:val="en"/>
              </w:rPr>
              <w:t>programme</w:t>
            </w:r>
            <w:proofErr w:type="spellEnd"/>
            <w:r w:rsidR="00194274">
              <w:rPr>
                <w:rFonts w:ascii="Arial" w:eastAsia="Times New Roman" w:hAnsi="Arial" w:cs="Arial"/>
                <w:bCs/>
                <w:iCs/>
                <w:color w:val="000000" w:themeColor="text1"/>
                <w:lang w:val="en"/>
              </w:rPr>
              <w:t xml:space="preserve">.  It provides the data for the child excess weight indicators in the Public Health Outcomes Framework and is part of the government’s approach to tackling child obesity.  The Office for Health Improvement and Disparities provides strategic leadership and support for this </w:t>
            </w:r>
            <w:proofErr w:type="spellStart"/>
            <w:r w:rsidR="00194274">
              <w:rPr>
                <w:rFonts w:ascii="Arial" w:eastAsia="Times New Roman" w:hAnsi="Arial" w:cs="Arial"/>
                <w:bCs/>
                <w:iCs/>
                <w:color w:val="000000" w:themeColor="text1"/>
                <w:lang w:val="en"/>
              </w:rPr>
              <w:t>programme</w:t>
            </w:r>
            <w:proofErr w:type="spellEnd"/>
            <w:r w:rsidR="00194274">
              <w:rPr>
                <w:rFonts w:ascii="Arial" w:eastAsia="Times New Roman" w:hAnsi="Arial" w:cs="Arial"/>
                <w:bCs/>
                <w:iCs/>
                <w:color w:val="000000" w:themeColor="text1"/>
                <w:lang w:val="en"/>
              </w:rPr>
              <w:t>, and local authorities deliver it.</w:t>
            </w:r>
          </w:p>
          <w:p w14:paraId="57520C4E" w14:textId="01AEFDC8" w:rsidR="00D03C48" w:rsidRPr="002A414C" w:rsidRDefault="00D03C48" w:rsidP="006010FD">
            <w:pPr>
              <w:jc w:val="both"/>
              <w:rPr>
                <w:rFonts w:ascii="Arial" w:eastAsia="Times New Roman" w:hAnsi="Arial" w:cs="Arial"/>
                <w:bCs/>
                <w:iCs/>
                <w:color w:val="000000" w:themeColor="text1"/>
                <w:lang w:val="en"/>
              </w:rPr>
            </w:pPr>
          </w:p>
          <w:p w14:paraId="3B0CEE6B" w14:textId="38C906E4" w:rsidR="00D03C48" w:rsidRDefault="00D03C48" w:rsidP="006010FD">
            <w:pPr>
              <w:jc w:val="both"/>
              <w:rPr>
                <w:rFonts w:ascii="Arial" w:eastAsia="Times New Roman" w:hAnsi="Arial" w:cs="Arial"/>
                <w:bCs/>
                <w:iCs/>
                <w:color w:val="000000" w:themeColor="text1"/>
                <w:lang w:val="en"/>
              </w:rPr>
            </w:pPr>
            <w:r w:rsidRPr="002A414C">
              <w:rPr>
                <w:rFonts w:ascii="Arial" w:eastAsia="Times New Roman" w:hAnsi="Arial" w:cs="Arial"/>
                <w:bCs/>
                <w:iCs/>
                <w:color w:val="000000" w:themeColor="text1"/>
                <w:lang w:val="en"/>
              </w:rPr>
              <w:t xml:space="preserve">The Child Health Information Service (CHIS) is an NHS commissioned service delivered by Provide.  </w:t>
            </w:r>
            <w:r>
              <w:rPr>
                <w:rFonts w:ascii="Arial" w:eastAsia="Times New Roman" w:hAnsi="Arial" w:cs="Arial"/>
                <w:bCs/>
                <w:iCs/>
                <w:color w:val="000000" w:themeColor="text1"/>
                <w:lang w:val="en"/>
              </w:rPr>
              <w:t xml:space="preserve">Their role is to ensure that information about a child’s school is available on TPP </w:t>
            </w:r>
            <w:proofErr w:type="spellStart"/>
            <w:r>
              <w:rPr>
                <w:rFonts w:ascii="Arial" w:eastAsia="Times New Roman" w:hAnsi="Arial" w:cs="Arial"/>
                <w:bCs/>
                <w:iCs/>
                <w:color w:val="000000" w:themeColor="text1"/>
                <w:lang w:val="en"/>
              </w:rPr>
              <w:t>SystmOne</w:t>
            </w:r>
            <w:proofErr w:type="spellEnd"/>
            <w:r>
              <w:rPr>
                <w:rFonts w:ascii="Arial" w:eastAsia="Times New Roman" w:hAnsi="Arial" w:cs="Arial"/>
                <w:bCs/>
                <w:iCs/>
                <w:color w:val="000000" w:themeColor="text1"/>
                <w:lang w:val="en"/>
              </w:rPr>
              <w:t xml:space="preserve"> to relevant clinicians including school nursing services, GPs and Specialist Children’s services and any other party involved in the child’s care.  This data matching </w:t>
            </w:r>
            <w:r w:rsidR="00C01A96">
              <w:rPr>
                <w:rFonts w:ascii="Arial" w:eastAsia="Times New Roman" w:hAnsi="Arial" w:cs="Arial"/>
                <w:bCs/>
                <w:iCs/>
                <w:color w:val="000000" w:themeColor="text1"/>
                <w:lang w:val="en"/>
              </w:rPr>
              <w:t>enables the necessary recording and uploading of data for the National Child Measurement Programme</w:t>
            </w:r>
            <w:r w:rsidR="004A50E3">
              <w:rPr>
                <w:rFonts w:ascii="Arial" w:eastAsia="Times New Roman" w:hAnsi="Arial" w:cs="Arial"/>
                <w:bCs/>
                <w:iCs/>
                <w:color w:val="000000" w:themeColor="text1"/>
                <w:lang w:val="en"/>
              </w:rPr>
              <w:t xml:space="preserve"> (NCMP)</w:t>
            </w:r>
            <w:r w:rsidR="00C01A96">
              <w:rPr>
                <w:rFonts w:ascii="Arial" w:eastAsia="Times New Roman" w:hAnsi="Arial" w:cs="Arial"/>
                <w:bCs/>
                <w:iCs/>
                <w:color w:val="000000" w:themeColor="text1"/>
                <w:lang w:val="en"/>
              </w:rPr>
              <w:t>.</w:t>
            </w:r>
          </w:p>
          <w:p w14:paraId="652F81FB" w14:textId="6A9A6541" w:rsidR="00C01A96" w:rsidRDefault="00C01A96" w:rsidP="006010FD">
            <w:pPr>
              <w:jc w:val="both"/>
              <w:rPr>
                <w:rFonts w:ascii="Arial" w:eastAsia="Times New Roman" w:hAnsi="Arial" w:cs="Arial"/>
                <w:bCs/>
                <w:iCs/>
                <w:color w:val="000000" w:themeColor="text1"/>
                <w:lang w:val="en"/>
              </w:rPr>
            </w:pPr>
          </w:p>
          <w:p w14:paraId="39FB6DF8" w14:textId="10F5C46A" w:rsidR="00511073" w:rsidRPr="00172B4D" w:rsidRDefault="00C01A96" w:rsidP="006010FD">
            <w:pPr>
              <w:jc w:val="both"/>
              <w:rPr>
                <w:rFonts w:ascii="Arial" w:eastAsia="Times New Roman" w:hAnsi="Arial" w:cs="Arial"/>
                <w:bCs/>
                <w:iCs/>
                <w:color w:val="FF0000"/>
                <w:lang w:val="en"/>
              </w:rPr>
            </w:pPr>
            <w:proofErr w:type="gramStart"/>
            <w:r>
              <w:rPr>
                <w:rFonts w:ascii="Arial" w:eastAsia="Times New Roman" w:hAnsi="Arial" w:cs="Arial"/>
                <w:bCs/>
                <w:iCs/>
                <w:color w:val="000000" w:themeColor="text1"/>
                <w:lang w:val="en"/>
              </w:rPr>
              <w:t>In order to</w:t>
            </w:r>
            <w:proofErr w:type="gramEnd"/>
            <w:r>
              <w:rPr>
                <w:rFonts w:ascii="Arial" w:eastAsia="Times New Roman" w:hAnsi="Arial" w:cs="Arial"/>
                <w:bCs/>
                <w:iCs/>
                <w:color w:val="000000" w:themeColor="text1"/>
                <w:lang w:val="en"/>
              </w:rPr>
              <w:t xml:space="preserve"> keep records up to date and accurate</w:t>
            </w:r>
            <w:r w:rsidR="00AE4E78">
              <w:rPr>
                <w:rFonts w:ascii="Arial" w:eastAsia="Times New Roman" w:hAnsi="Arial" w:cs="Arial"/>
                <w:bCs/>
                <w:iCs/>
                <w:color w:val="000000" w:themeColor="text1"/>
                <w:lang w:val="en"/>
              </w:rPr>
              <w:t>, Provide Child Health team (CHIS) is requesting information from Essex County Council</w:t>
            </w:r>
            <w:r>
              <w:rPr>
                <w:rFonts w:ascii="Arial" w:eastAsia="Times New Roman" w:hAnsi="Arial" w:cs="Arial"/>
                <w:bCs/>
                <w:iCs/>
                <w:color w:val="000000" w:themeColor="text1"/>
                <w:lang w:val="en"/>
              </w:rPr>
              <w:t>.  The purpose is to ensure that the C</w:t>
            </w:r>
            <w:r w:rsidR="00AE4E78">
              <w:rPr>
                <w:rFonts w:ascii="Arial" w:eastAsia="Times New Roman" w:hAnsi="Arial" w:cs="Arial"/>
                <w:bCs/>
                <w:iCs/>
                <w:color w:val="000000" w:themeColor="text1"/>
                <w:lang w:val="en"/>
              </w:rPr>
              <w:t>HIS</w:t>
            </w:r>
            <w:r>
              <w:rPr>
                <w:rFonts w:ascii="Arial" w:eastAsia="Times New Roman" w:hAnsi="Arial" w:cs="Arial"/>
                <w:bCs/>
                <w:iCs/>
                <w:color w:val="000000" w:themeColor="text1"/>
                <w:lang w:val="en"/>
              </w:rPr>
              <w:t xml:space="preserve"> service have an accurate record of children who have moved into borough but not listed as having a school or being home schooled.</w:t>
            </w:r>
            <w:r w:rsidR="00172B4D">
              <w:rPr>
                <w:rFonts w:ascii="Arial" w:eastAsia="Times New Roman" w:hAnsi="Arial" w:cs="Arial"/>
                <w:bCs/>
                <w:iCs/>
                <w:color w:val="000000" w:themeColor="text1"/>
                <w:lang w:val="en"/>
              </w:rPr>
              <w:t xml:space="preserve"> </w:t>
            </w:r>
          </w:p>
          <w:p w14:paraId="5D387AF5" w14:textId="5AD1F6B3" w:rsidR="00C01A96" w:rsidRDefault="00C01A96" w:rsidP="006010FD">
            <w:pPr>
              <w:jc w:val="both"/>
              <w:rPr>
                <w:rFonts w:ascii="Arial" w:eastAsia="Times New Roman" w:hAnsi="Arial" w:cs="Arial"/>
                <w:bCs/>
                <w:iCs/>
                <w:color w:val="000000" w:themeColor="text1"/>
                <w:lang w:val="en"/>
              </w:rPr>
            </w:pPr>
          </w:p>
          <w:p w14:paraId="43F207DF" w14:textId="4A3DA94C" w:rsidR="00C01A96" w:rsidRPr="002A414C" w:rsidRDefault="00C01A96" w:rsidP="006010FD">
            <w:pPr>
              <w:jc w:val="both"/>
              <w:rPr>
                <w:rFonts w:ascii="Arial" w:eastAsia="Times New Roman" w:hAnsi="Arial" w:cs="Arial"/>
                <w:b/>
                <w:iCs/>
                <w:color w:val="000000" w:themeColor="text1"/>
                <w:lang w:val="en"/>
              </w:rPr>
            </w:pPr>
            <w:r w:rsidRPr="002A414C">
              <w:rPr>
                <w:rFonts w:ascii="Arial" w:eastAsia="Times New Roman" w:hAnsi="Arial" w:cs="Arial"/>
                <w:b/>
                <w:iCs/>
                <w:color w:val="000000" w:themeColor="text1"/>
                <w:lang w:val="en"/>
              </w:rPr>
              <w:t>The benefits</w:t>
            </w:r>
          </w:p>
          <w:p w14:paraId="3A94B7CE" w14:textId="63BA8511" w:rsidR="00C01A96" w:rsidRDefault="00C01A96" w:rsidP="006010FD">
            <w:pPr>
              <w:jc w:val="both"/>
              <w:rPr>
                <w:rFonts w:ascii="Arial" w:eastAsia="Times New Roman" w:hAnsi="Arial" w:cs="Arial"/>
                <w:bCs/>
                <w:iCs/>
                <w:color w:val="000000" w:themeColor="text1"/>
                <w:lang w:val="en"/>
              </w:rPr>
            </w:pPr>
            <w:r>
              <w:rPr>
                <w:rFonts w:ascii="Arial" w:eastAsia="Times New Roman" w:hAnsi="Arial" w:cs="Arial"/>
                <w:bCs/>
                <w:iCs/>
                <w:color w:val="000000" w:themeColor="text1"/>
                <w:lang w:val="en"/>
              </w:rPr>
              <w:t xml:space="preserve">Both partners have accurate records resulting in a submission of </w:t>
            </w:r>
            <w:r w:rsidR="002A414C">
              <w:rPr>
                <w:rFonts w:ascii="Arial" w:eastAsia="Times New Roman" w:hAnsi="Arial" w:cs="Arial"/>
                <w:bCs/>
                <w:iCs/>
                <w:color w:val="000000" w:themeColor="text1"/>
                <w:lang w:val="en"/>
              </w:rPr>
              <w:t>up-to-date</w:t>
            </w:r>
            <w:r>
              <w:rPr>
                <w:rFonts w:ascii="Arial" w:eastAsia="Times New Roman" w:hAnsi="Arial" w:cs="Arial"/>
                <w:bCs/>
                <w:iCs/>
                <w:color w:val="000000" w:themeColor="text1"/>
                <w:lang w:val="en"/>
              </w:rPr>
              <w:t xml:space="preserve"> information to the NCMP.</w:t>
            </w:r>
          </w:p>
          <w:p w14:paraId="0E89359F" w14:textId="14834995" w:rsidR="00C01A96" w:rsidRDefault="00C01A96" w:rsidP="006010FD">
            <w:pPr>
              <w:jc w:val="both"/>
              <w:rPr>
                <w:rFonts w:ascii="Arial" w:eastAsia="Times New Roman" w:hAnsi="Arial" w:cs="Arial"/>
                <w:bCs/>
                <w:iCs/>
                <w:color w:val="000000" w:themeColor="text1"/>
                <w:lang w:val="en"/>
              </w:rPr>
            </w:pPr>
            <w:r w:rsidRPr="002A414C">
              <w:rPr>
                <w:rFonts w:ascii="Arial" w:eastAsia="Times New Roman" w:hAnsi="Arial" w:cs="Arial"/>
                <w:bCs/>
                <w:iCs/>
                <w:color w:val="000000" w:themeColor="text1"/>
                <w:lang w:val="en"/>
              </w:rPr>
              <w:t>Importantly the child health record held within local CHIS follows the child and family when they move GP or move area and provides a failsafe to ensure that all children, including those not registered with a GP, have been offered and have access to vital public health services.</w:t>
            </w:r>
            <w:r>
              <w:rPr>
                <w:rFonts w:ascii="Arial" w:eastAsia="Times New Roman" w:hAnsi="Arial" w:cs="Arial"/>
                <w:bCs/>
                <w:iCs/>
                <w:color w:val="000000" w:themeColor="text1"/>
                <w:lang w:val="en"/>
              </w:rPr>
              <w:t xml:space="preserve">  The role of the Local Authority is to provide the current school details under </w:t>
            </w:r>
            <w:r w:rsidR="002A414C">
              <w:rPr>
                <w:rFonts w:ascii="Arial" w:eastAsia="Times New Roman" w:hAnsi="Arial" w:cs="Arial"/>
                <w:bCs/>
                <w:iCs/>
                <w:color w:val="000000" w:themeColor="text1"/>
                <w:lang w:val="en"/>
              </w:rPr>
              <w:t>its</w:t>
            </w:r>
            <w:r>
              <w:rPr>
                <w:rFonts w:ascii="Arial" w:eastAsia="Times New Roman" w:hAnsi="Arial" w:cs="Arial"/>
                <w:bCs/>
                <w:iCs/>
                <w:color w:val="000000" w:themeColor="text1"/>
                <w:lang w:val="en"/>
              </w:rPr>
              <w:t xml:space="preserve"> duty to safeguard and help provide positive outcomes for children in Essex.</w:t>
            </w:r>
          </w:p>
          <w:p w14:paraId="41A722C4" w14:textId="43ED9FA1" w:rsidR="002A6A08" w:rsidRDefault="002A6A08" w:rsidP="006010FD">
            <w:pPr>
              <w:jc w:val="both"/>
              <w:rPr>
                <w:rFonts w:ascii="Arial" w:eastAsia="Times New Roman" w:hAnsi="Arial" w:cs="Arial"/>
                <w:bCs/>
                <w:iCs/>
                <w:color w:val="000000" w:themeColor="text1"/>
                <w:lang w:val="en"/>
              </w:rPr>
            </w:pPr>
          </w:p>
          <w:p w14:paraId="0E11C8F2" w14:textId="00D79483" w:rsidR="002A6A08" w:rsidRPr="002A414C" w:rsidRDefault="002A414C" w:rsidP="006010FD">
            <w:pPr>
              <w:jc w:val="both"/>
              <w:rPr>
                <w:rFonts w:ascii="Arial" w:eastAsia="Times New Roman" w:hAnsi="Arial" w:cs="Arial"/>
                <w:b/>
                <w:iCs/>
                <w:color w:val="000000" w:themeColor="text1"/>
                <w:lang w:val="en"/>
              </w:rPr>
            </w:pPr>
            <w:r w:rsidRPr="002A414C">
              <w:rPr>
                <w:rFonts w:ascii="Arial" w:eastAsia="Times New Roman" w:hAnsi="Arial" w:cs="Arial"/>
                <w:b/>
                <w:iCs/>
                <w:color w:val="000000" w:themeColor="text1"/>
                <w:lang w:val="en"/>
              </w:rPr>
              <w:t>Responsibilities of Essex County Council and Provide CHIS:</w:t>
            </w:r>
          </w:p>
          <w:p w14:paraId="696926DA" w14:textId="67879AA3" w:rsidR="002A414C" w:rsidRDefault="002A414C" w:rsidP="006010FD">
            <w:pPr>
              <w:jc w:val="both"/>
              <w:rPr>
                <w:rFonts w:ascii="Arial" w:eastAsia="Times New Roman" w:hAnsi="Arial" w:cs="Arial"/>
                <w:bCs/>
                <w:iCs/>
                <w:color w:val="000000" w:themeColor="text1"/>
                <w:lang w:val="en"/>
              </w:rPr>
            </w:pPr>
            <w:r>
              <w:rPr>
                <w:rFonts w:ascii="Arial" w:eastAsia="Times New Roman" w:hAnsi="Arial" w:cs="Arial"/>
                <w:bCs/>
                <w:iCs/>
                <w:color w:val="000000" w:themeColor="text1"/>
                <w:lang w:val="en"/>
              </w:rPr>
              <w:t>Under the Children’s Act 2004, Section 10 it sets out the role of the local authority in improving the well-being of children in the authority’s area so far as relating to:</w:t>
            </w:r>
          </w:p>
          <w:p w14:paraId="57640907" w14:textId="77777777" w:rsidR="002A414C" w:rsidRDefault="002A414C" w:rsidP="002A414C">
            <w:pPr>
              <w:pStyle w:val="ListParagraph"/>
              <w:numPr>
                <w:ilvl w:val="0"/>
                <w:numId w:val="11"/>
              </w:numPr>
              <w:jc w:val="both"/>
              <w:rPr>
                <w:rFonts w:ascii="Arial" w:eastAsia="Times New Roman" w:hAnsi="Arial" w:cs="Arial"/>
                <w:bCs/>
                <w:iCs/>
                <w:color w:val="000000" w:themeColor="text1"/>
                <w:lang w:val="en"/>
              </w:rPr>
            </w:pPr>
            <w:r w:rsidRPr="002A414C">
              <w:rPr>
                <w:rFonts w:ascii="Arial" w:eastAsia="Times New Roman" w:hAnsi="Arial" w:cs="Arial"/>
                <w:bCs/>
                <w:iCs/>
                <w:color w:val="000000" w:themeColor="text1"/>
                <w:lang w:val="en"/>
              </w:rPr>
              <w:t>physical and mental health and emotional well-being</w:t>
            </w:r>
          </w:p>
          <w:p w14:paraId="129ACF24" w14:textId="3171A2CA" w:rsidR="002A414C" w:rsidRPr="002A414C" w:rsidRDefault="002A414C" w:rsidP="002A414C">
            <w:pPr>
              <w:pStyle w:val="ListParagraph"/>
              <w:numPr>
                <w:ilvl w:val="0"/>
                <w:numId w:val="11"/>
              </w:numPr>
              <w:jc w:val="both"/>
              <w:rPr>
                <w:rFonts w:ascii="Arial" w:eastAsia="Times New Roman" w:hAnsi="Arial" w:cs="Arial"/>
                <w:bCs/>
                <w:iCs/>
                <w:color w:val="000000" w:themeColor="text1"/>
                <w:lang w:val="en"/>
              </w:rPr>
            </w:pPr>
            <w:r>
              <w:rPr>
                <w:rFonts w:ascii="Arial" w:eastAsia="Times New Roman" w:hAnsi="Arial" w:cs="Arial"/>
                <w:bCs/>
                <w:iCs/>
                <w:color w:val="000000" w:themeColor="text1"/>
                <w:lang w:val="en"/>
              </w:rPr>
              <w:t>protection from harm and neglect.</w:t>
            </w:r>
          </w:p>
          <w:p w14:paraId="311A5BC2" w14:textId="16B42EEB" w:rsidR="002A6A08" w:rsidRPr="002A414C" w:rsidRDefault="002A414C" w:rsidP="002A6A08">
            <w:pPr>
              <w:pStyle w:val="legclearfix"/>
              <w:shd w:val="clear" w:color="auto" w:fill="FFFFFF"/>
              <w:spacing w:before="0" w:beforeAutospacing="0" w:after="120" w:afterAutospacing="0" w:line="360" w:lineRule="atLeast"/>
              <w:rPr>
                <w:rFonts w:ascii="Arial" w:hAnsi="Arial" w:cs="Arial"/>
                <w:bCs/>
                <w:iCs/>
                <w:color w:val="000000" w:themeColor="text1"/>
                <w:sz w:val="22"/>
                <w:szCs w:val="22"/>
                <w:lang w:val="en" w:eastAsia="en-US"/>
              </w:rPr>
            </w:pPr>
            <w:r w:rsidRPr="002A414C">
              <w:rPr>
                <w:rFonts w:ascii="Arial" w:hAnsi="Arial" w:cs="Arial"/>
                <w:bCs/>
                <w:iCs/>
                <w:color w:val="000000" w:themeColor="text1"/>
                <w:sz w:val="22"/>
                <w:szCs w:val="22"/>
                <w:lang w:val="en" w:eastAsia="en-US"/>
              </w:rPr>
              <w:t>Provide shares those responsibilities as a commissioned provider of the CHIS.</w:t>
            </w:r>
          </w:p>
          <w:p w14:paraId="32F851C4" w14:textId="77777777" w:rsidR="008D7640" w:rsidRPr="002303F8" w:rsidRDefault="008D7640" w:rsidP="008D7640">
            <w:pPr>
              <w:pStyle w:val="Default"/>
              <w:rPr>
                <w:sz w:val="22"/>
                <w:szCs w:val="22"/>
              </w:rPr>
            </w:pPr>
            <w:r w:rsidRPr="002303F8">
              <w:rPr>
                <w:sz w:val="22"/>
                <w:szCs w:val="22"/>
              </w:rPr>
              <w:t xml:space="preserve">To enable the recording and uploading of data for the National Child Measurement Programme. </w:t>
            </w:r>
          </w:p>
          <w:p w14:paraId="5CF4CF33" w14:textId="77777777" w:rsidR="006010FD" w:rsidRDefault="006010FD" w:rsidP="006010FD"/>
          <w:p w14:paraId="2794C5F3" w14:textId="77777777" w:rsidR="006010FD" w:rsidRDefault="006010FD" w:rsidP="006010FD"/>
          <w:p w14:paraId="61A1370A" w14:textId="77777777" w:rsidR="006010FD" w:rsidRDefault="006010FD" w:rsidP="006010FD"/>
          <w:p w14:paraId="6DA034FC" w14:textId="566E5434" w:rsidR="006010FD" w:rsidRDefault="006010FD" w:rsidP="006010FD"/>
        </w:tc>
      </w:tr>
    </w:tbl>
    <w:p w14:paraId="1A23CABC" w14:textId="232ED0E0" w:rsidR="006010FD" w:rsidRDefault="006010FD" w:rsidP="006010FD"/>
    <w:p w14:paraId="560FEB67" w14:textId="06C2D82E" w:rsidR="006010FD" w:rsidRPr="00B530EC" w:rsidRDefault="006010FD" w:rsidP="00547141">
      <w:pPr>
        <w:pStyle w:val="Heading1"/>
        <w:rPr>
          <w:rStyle w:val="Hyperlink"/>
          <w:color w:val="auto"/>
          <w:sz w:val="52"/>
          <w:szCs w:val="24"/>
        </w:rPr>
      </w:pPr>
      <w:r w:rsidRPr="00B530EC">
        <w:rPr>
          <w:rStyle w:val="Hyperlink"/>
          <w:color w:val="auto"/>
          <w:sz w:val="52"/>
          <w:szCs w:val="24"/>
        </w:rPr>
        <w:lastRenderedPageBreak/>
        <w:t>2</w:t>
      </w:r>
      <w:r w:rsidR="00547141" w:rsidRPr="00B530EC">
        <w:rPr>
          <w:rStyle w:val="Hyperlink"/>
          <w:color w:val="auto"/>
          <w:sz w:val="52"/>
          <w:szCs w:val="24"/>
        </w:rPr>
        <w:t xml:space="preserve"> – Information to be shared</w:t>
      </w:r>
    </w:p>
    <w:tbl>
      <w:tblPr>
        <w:tblStyle w:val="TableGrid"/>
        <w:tblW w:w="0" w:type="auto"/>
        <w:tblLook w:val="04A0" w:firstRow="1" w:lastRow="0" w:firstColumn="1" w:lastColumn="0" w:noHBand="0" w:noVBand="1"/>
      </w:tblPr>
      <w:tblGrid>
        <w:gridCol w:w="6974"/>
        <w:gridCol w:w="6974"/>
      </w:tblGrid>
      <w:tr w:rsidR="008139CA" w14:paraId="23B75613" w14:textId="77777777" w:rsidTr="008139CA">
        <w:tc>
          <w:tcPr>
            <w:tcW w:w="6974" w:type="dxa"/>
          </w:tcPr>
          <w:p w14:paraId="4921FE7C" w14:textId="20828C35" w:rsidR="008139CA" w:rsidRPr="003760B7" w:rsidRDefault="008139CA" w:rsidP="00547141">
            <w:pPr>
              <w:rPr>
                <w:rFonts w:ascii="Arial" w:hAnsi="Arial" w:cs="Arial"/>
              </w:rPr>
            </w:pPr>
            <w:r w:rsidRPr="003760B7">
              <w:rPr>
                <w:rFonts w:ascii="Arial" w:hAnsi="Arial" w:cs="Arial"/>
                <w:b/>
                <w:sz w:val="24"/>
              </w:rPr>
              <w:t>Agency Name</w:t>
            </w:r>
            <w:r w:rsidR="00ED15B6">
              <w:t xml:space="preserve"> </w:t>
            </w:r>
            <w:r w:rsidR="00CB71F5">
              <w:t xml:space="preserve"> </w:t>
            </w:r>
            <w:r w:rsidR="00ED15B6">
              <w:t xml:space="preserve"> Essex </w:t>
            </w:r>
            <w:r w:rsidR="004A50E3">
              <w:t>C</w:t>
            </w:r>
            <w:r w:rsidR="00ED15B6">
              <w:t xml:space="preserve">ounty </w:t>
            </w:r>
            <w:r w:rsidR="004A50E3">
              <w:t>C</w:t>
            </w:r>
            <w:r w:rsidR="00ED15B6">
              <w:t>ouncil (ECC)</w:t>
            </w:r>
          </w:p>
        </w:tc>
        <w:tc>
          <w:tcPr>
            <w:tcW w:w="6974" w:type="dxa"/>
          </w:tcPr>
          <w:p w14:paraId="382CA4B4" w14:textId="52651D0B" w:rsidR="008139CA" w:rsidRPr="003760B7" w:rsidRDefault="008139CA" w:rsidP="00547141">
            <w:pPr>
              <w:rPr>
                <w:rFonts w:ascii="Arial" w:hAnsi="Arial" w:cs="Arial"/>
              </w:rPr>
            </w:pPr>
            <w:r w:rsidRPr="003760B7">
              <w:rPr>
                <w:rFonts w:ascii="Arial" w:hAnsi="Arial" w:cs="Arial"/>
                <w:b/>
                <w:sz w:val="24"/>
              </w:rPr>
              <w:t>Data field/description</w:t>
            </w:r>
          </w:p>
        </w:tc>
      </w:tr>
      <w:tr w:rsidR="008139CA" w14:paraId="37C59952" w14:textId="77777777" w:rsidTr="008139CA">
        <w:tc>
          <w:tcPr>
            <w:tcW w:w="6974" w:type="dxa"/>
          </w:tcPr>
          <w:p w14:paraId="4B6DD1B8" w14:textId="25F57AD6" w:rsidR="008139CA" w:rsidRPr="00ED15B6" w:rsidRDefault="00ED15B6" w:rsidP="00547141">
            <w:pPr>
              <w:rPr>
                <w:b/>
                <w:bCs/>
              </w:rPr>
            </w:pPr>
            <w:r w:rsidRPr="00ED15B6">
              <w:rPr>
                <w:b/>
                <w:bCs/>
              </w:rPr>
              <w:t>School Information</w:t>
            </w:r>
          </w:p>
        </w:tc>
        <w:tc>
          <w:tcPr>
            <w:tcW w:w="6974" w:type="dxa"/>
          </w:tcPr>
          <w:p w14:paraId="1BB4BCED" w14:textId="460C54A8" w:rsidR="006120B7" w:rsidRDefault="006120B7" w:rsidP="006120B7">
            <w:r>
              <w:t xml:space="preserve">School URN number </w:t>
            </w:r>
          </w:p>
          <w:p w14:paraId="61F0860E" w14:textId="77777777" w:rsidR="006120B7" w:rsidRPr="00062738" w:rsidRDefault="006120B7" w:rsidP="006120B7">
            <w:r w:rsidRPr="00062738">
              <w:t>School Name</w:t>
            </w:r>
          </w:p>
          <w:p w14:paraId="62188699" w14:textId="42B4BBA3" w:rsidR="006120B7" w:rsidRDefault="006120B7" w:rsidP="006120B7">
            <w:r>
              <w:t>Childs Forename</w:t>
            </w:r>
          </w:p>
          <w:p w14:paraId="307280F8" w14:textId="0A161EA0" w:rsidR="006120B7" w:rsidRPr="00062738" w:rsidRDefault="006120B7" w:rsidP="006120B7">
            <w:r>
              <w:t xml:space="preserve">Childs </w:t>
            </w:r>
            <w:r w:rsidRPr="00062738">
              <w:t>Surname</w:t>
            </w:r>
          </w:p>
          <w:p w14:paraId="33CA7074" w14:textId="77777777" w:rsidR="006120B7" w:rsidRPr="00062738" w:rsidRDefault="006120B7" w:rsidP="006120B7">
            <w:r w:rsidRPr="00062738">
              <w:t>Date Of Birth</w:t>
            </w:r>
          </w:p>
          <w:p w14:paraId="7848DB1E" w14:textId="24BD3F97" w:rsidR="006120B7" w:rsidRPr="00062738" w:rsidRDefault="006120B7" w:rsidP="006120B7">
            <w:r w:rsidRPr="00062738">
              <w:t>Address</w:t>
            </w:r>
            <w:r>
              <w:t xml:space="preserve"> including postcode</w:t>
            </w:r>
          </w:p>
          <w:p w14:paraId="28B012A0" w14:textId="61F4A746" w:rsidR="006120B7" w:rsidRDefault="00ED15B6" w:rsidP="006120B7">
            <w:r>
              <w:t xml:space="preserve">School entry date </w:t>
            </w:r>
          </w:p>
          <w:p w14:paraId="01C2165B" w14:textId="41051222" w:rsidR="00ED15B6" w:rsidRPr="00062738" w:rsidRDefault="00ED15B6" w:rsidP="006120B7">
            <w:r>
              <w:t>School leaving date</w:t>
            </w:r>
          </w:p>
          <w:p w14:paraId="05C751C1" w14:textId="77777777" w:rsidR="006120B7" w:rsidRPr="00062738" w:rsidRDefault="006120B7" w:rsidP="006120B7"/>
          <w:p w14:paraId="4F13703C" w14:textId="420D1961" w:rsidR="008139CA" w:rsidRPr="004A50E3" w:rsidRDefault="004A50E3" w:rsidP="00ED15B6">
            <w:pPr>
              <w:rPr>
                <w:i/>
                <w:iCs/>
              </w:rPr>
            </w:pPr>
            <w:r w:rsidRPr="004A50E3">
              <w:rPr>
                <w:i/>
                <w:iCs/>
              </w:rPr>
              <w:t>NB Full postcode is required to ensure that all contact details on a child’s record are correct and that we have the correct child as there may be two children with the same name.</w:t>
            </w:r>
          </w:p>
        </w:tc>
      </w:tr>
      <w:tr w:rsidR="008139CA" w14:paraId="38B329A3" w14:textId="77777777" w:rsidTr="008139CA">
        <w:tc>
          <w:tcPr>
            <w:tcW w:w="6974" w:type="dxa"/>
          </w:tcPr>
          <w:p w14:paraId="3297AB5E" w14:textId="63D90315" w:rsidR="008139CA" w:rsidRPr="00ED15B6" w:rsidRDefault="00ED15B6" w:rsidP="00547141">
            <w:pPr>
              <w:rPr>
                <w:b/>
                <w:bCs/>
              </w:rPr>
            </w:pPr>
            <w:r w:rsidRPr="00ED15B6">
              <w:rPr>
                <w:b/>
                <w:bCs/>
              </w:rPr>
              <w:t>School Transfers (Infant to Junior school and Primary/Junior to Secondary school)</w:t>
            </w:r>
          </w:p>
        </w:tc>
        <w:tc>
          <w:tcPr>
            <w:tcW w:w="6974" w:type="dxa"/>
          </w:tcPr>
          <w:p w14:paraId="7F8D7063" w14:textId="77777777" w:rsidR="00ED15B6" w:rsidRDefault="00ED15B6" w:rsidP="00547141">
            <w:r>
              <w:t>Current school</w:t>
            </w:r>
          </w:p>
          <w:p w14:paraId="4ACD06BF" w14:textId="1E3BDF5B" w:rsidR="00ED15B6" w:rsidRDefault="00ED15B6" w:rsidP="00547141">
            <w:r>
              <w:t>New school</w:t>
            </w:r>
          </w:p>
          <w:p w14:paraId="322588FC" w14:textId="79F457BC" w:rsidR="00ED15B6" w:rsidRDefault="00ED15B6" w:rsidP="00547141">
            <w:r>
              <w:t>Child’s forename</w:t>
            </w:r>
          </w:p>
          <w:p w14:paraId="0BF02979" w14:textId="77777777" w:rsidR="00ED15B6" w:rsidRDefault="00ED15B6" w:rsidP="00547141">
            <w:r>
              <w:t xml:space="preserve">Child’s surname </w:t>
            </w:r>
          </w:p>
          <w:p w14:paraId="71C0B9B0" w14:textId="1773CF7E" w:rsidR="00ED15B6" w:rsidRDefault="00ED15B6" w:rsidP="00547141">
            <w:r>
              <w:t xml:space="preserve">Date of birth </w:t>
            </w:r>
          </w:p>
          <w:p w14:paraId="7F96010C" w14:textId="6FE65110" w:rsidR="008139CA" w:rsidRDefault="00ED15B6" w:rsidP="00547141">
            <w:r>
              <w:t>Address including postcode</w:t>
            </w:r>
          </w:p>
        </w:tc>
      </w:tr>
      <w:tr w:rsidR="008139CA" w14:paraId="6F21DB9D" w14:textId="77777777" w:rsidTr="008139CA">
        <w:tc>
          <w:tcPr>
            <w:tcW w:w="6974" w:type="dxa"/>
          </w:tcPr>
          <w:p w14:paraId="4C512ADB" w14:textId="70BB214A" w:rsidR="008139CA" w:rsidRPr="009F549B" w:rsidRDefault="009F549B" w:rsidP="00547141">
            <w:pPr>
              <w:rPr>
                <w:b/>
                <w:bCs/>
              </w:rPr>
            </w:pPr>
            <w:r w:rsidRPr="009F549B">
              <w:rPr>
                <w:b/>
                <w:bCs/>
              </w:rPr>
              <w:t>Reception year admissions</w:t>
            </w:r>
          </w:p>
        </w:tc>
        <w:tc>
          <w:tcPr>
            <w:tcW w:w="6974" w:type="dxa"/>
          </w:tcPr>
          <w:p w14:paraId="4B41A99B" w14:textId="77777777" w:rsidR="009F549B" w:rsidRDefault="009F549B" w:rsidP="00547141">
            <w:r>
              <w:t xml:space="preserve">School Name </w:t>
            </w:r>
          </w:p>
          <w:p w14:paraId="084A7208" w14:textId="1C8E041C" w:rsidR="009F549B" w:rsidRDefault="009F549B" w:rsidP="00547141">
            <w:r>
              <w:t xml:space="preserve">Child’s forename </w:t>
            </w:r>
          </w:p>
          <w:p w14:paraId="50565F2C" w14:textId="77777777" w:rsidR="009F549B" w:rsidRDefault="009F549B" w:rsidP="00547141">
            <w:r>
              <w:t xml:space="preserve">Surname </w:t>
            </w:r>
          </w:p>
          <w:p w14:paraId="60E5E8D3" w14:textId="6E1FADAB" w:rsidR="008139CA" w:rsidRDefault="009F549B" w:rsidP="00547141">
            <w:r>
              <w:t>Date of birth</w:t>
            </w:r>
          </w:p>
        </w:tc>
      </w:tr>
    </w:tbl>
    <w:p w14:paraId="0C0EA046" w14:textId="466D7A1B" w:rsidR="00E927EE" w:rsidRDefault="00E927EE" w:rsidP="008139CA">
      <w:pPr>
        <w:rPr>
          <w:rFonts w:ascii="Arial" w:hAnsi="Arial" w:cs="Arial"/>
          <w:b/>
          <w:color w:val="000000" w:themeColor="text1"/>
          <w:sz w:val="24"/>
          <w:szCs w:val="24"/>
        </w:rPr>
      </w:pPr>
    </w:p>
    <w:p w14:paraId="70F24668" w14:textId="77777777" w:rsidR="0081737E" w:rsidRDefault="0081737E" w:rsidP="008139CA">
      <w:pPr>
        <w:rPr>
          <w:rFonts w:ascii="Arial" w:hAnsi="Arial" w:cs="Arial"/>
          <w:b/>
          <w:color w:val="000000" w:themeColor="text1"/>
          <w:sz w:val="24"/>
          <w:szCs w:val="24"/>
        </w:rPr>
      </w:pPr>
    </w:p>
    <w:p w14:paraId="0988383D" w14:textId="49E23FDC" w:rsidR="00E927EE" w:rsidRDefault="00E927EE" w:rsidP="008139CA">
      <w:pPr>
        <w:rPr>
          <w:rFonts w:ascii="Arial" w:hAnsi="Arial" w:cs="Arial"/>
          <w:b/>
          <w:color w:val="000000" w:themeColor="text1"/>
          <w:sz w:val="24"/>
          <w:szCs w:val="24"/>
        </w:rPr>
      </w:pPr>
    </w:p>
    <w:p w14:paraId="07B8A5E4" w14:textId="51C0D838" w:rsidR="00E927EE" w:rsidRDefault="00E927EE" w:rsidP="008139CA">
      <w:pPr>
        <w:rPr>
          <w:rFonts w:ascii="Arial" w:hAnsi="Arial" w:cs="Arial"/>
          <w:b/>
          <w:color w:val="000000" w:themeColor="text1"/>
          <w:sz w:val="24"/>
          <w:szCs w:val="24"/>
        </w:rPr>
      </w:pPr>
    </w:p>
    <w:p w14:paraId="6E33C59E" w14:textId="77777777" w:rsidR="00E927EE" w:rsidRPr="003760B7" w:rsidRDefault="00E927EE" w:rsidP="008139CA">
      <w:pPr>
        <w:rPr>
          <w:rFonts w:ascii="Arial" w:hAnsi="Arial" w:cs="Arial"/>
          <w:b/>
          <w:color w:val="000000" w:themeColor="text1"/>
          <w:sz w:val="24"/>
          <w:szCs w:val="24"/>
        </w:rPr>
      </w:pPr>
    </w:p>
    <w:p w14:paraId="6EB59847" w14:textId="0FA051E5" w:rsidR="00547141" w:rsidRPr="00B530EC" w:rsidRDefault="00C46A58" w:rsidP="00C46A58">
      <w:pPr>
        <w:pStyle w:val="Heading1"/>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029" w:type="dxa"/>
        <w:tblLayout w:type="fixed"/>
        <w:tblLook w:val="04A0" w:firstRow="1" w:lastRow="0" w:firstColumn="1" w:lastColumn="0" w:noHBand="0" w:noVBand="1"/>
      </w:tblPr>
      <w:tblGrid>
        <w:gridCol w:w="7083"/>
        <w:gridCol w:w="6946"/>
      </w:tblGrid>
      <w:tr w:rsidR="00F54FF1" w:rsidRPr="00D1534C" w14:paraId="4D6CDDFC" w14:textId="77777777" w:rsidTr="00F54FF1">
        <w:tc>
          <w:tcPr>
            <w:tcW w:w="7083" w:type="dxa"/>
          </w:tcPr>
          <w:p w14:paraId="426E3723" w14:textId="77777777" w:rsidR="00F54FF1" w:rsidRPr="00D1534C" w:rsidRDefault="00F54FF1" w:rsidP="00BB0EDF">
            <w:pPr>
              <w:autoSpaceDE w:val="0"/>
              <w:autoSpaceDN w:val="0"/>
              <w:adjustRightInd w:val="0"/>
              <w:jc w:val="both"/>
              <w:rPr>
                <w:rFonts w:ascii="Arial" w:hAnsi="Arial" w:cs="Arial"/>
                <w:b/>
                <w:sz w:val="24"/>
              </w:rPr>
            </w:pPr>
            <w:r w:rsidRPr="00D1534C">
              <w:rPr>
                <w:rFonts w:ascii="Arial" w:hAnsi="Arial" w:cs="Arial"/>
                <w:b/>
                <w:sz w:val="24"/>
              </w:rPr>
              <w:t>Personal Data (identifiable data)</w:t>
            </w:r>
          </w:p>
        </w:tc>
        <w:tc>
          <w:tcPr>
            <w:tcW w:w="6946" w:type="dxa"/>
          </w:tcPr>
          <w:p w14:paraId="1946082B" w14:textId="77777777" w:rsidR="00F54FF1" w:rsidRPr="00D1534C" w:rsidRDefault="00F54FF1" w:rsidP="00BB0EDF">
            <w:pPr>
              <w:autoSpaceDE w:val="0"/>
              <w:autoSpaceDN w:val="0"/>
              <w:adjustRightInd w:val="0"/>
              <w:jc w:val="both"/>
              <w:rPr>
                <w:rFonts w:ascii="Arial" w:hAnsi="Arial" w:cs="Arial"/>
                <w:b/>
                <w:sz w:val="24"/>
              </w:rPr>
            </w:pPr>
            <w:r w:rsidRPr="00D1534C">
              <w:rPr>
                <w:rFonts w:ascii="Arial" w:hAnsi="Arial" w:cs="Arial"/>
                <w:b/>
                <w:sz w:val="24"/>
              </w:rPr>
              <w:t>Special Categories of Data (Sensitive identifiable data)</w:t>
            </w:r>
          </w:p>
        </w:tc>
      </w:tr>
      <w:tr w:rsidR="00F54FF1" w:rsidRPr="00D1534C" w14:paraId="500239A2" w14:textId="77777777" w:rsidTr="00F54FF1">
        <w:trPr>
          <w:trHeight w:val="502"/>
        </w:trPr>
        <w:tc>
          <w:tcPr>
            <w:tcW w:w="7083" w:type="dxa"/>
          </w:tcPr>
          <w:p w14:paraId="648CEE8D" w14:textId="47279F4E" w:rsidR="00F54FF1" w:rsidRPr="00D1534C" w:rsidRDefault="00F54FF1" w:rsidP="00BB0EDF">
            <w:pPr>
              <w:autoSpaceDE w:val="0"/>
              <w:autoSpaceDN w:val="0"/>
              <w:adjustRightInd w:val="0"/>
              <w:jc w:val="both"/>
              <w:rPr>
                <w:rFonts w:ascii="Arial" w:hAnsi="Arial" w:cs="Arial"/>
                <w:i/>
                <w:color w:val="003399"/>
                <w:sz w:val="24"/>
              </w:rPr>
            </w:pPr>
            <w:r w:rsidRPr="004528E9">
              <w:rPr>
                <w:rFonts w:ascii="Arial" w:hAnsi="Arial" w:cs="Arial"/>
                <w:b/>
                <w:sz w:val="24"/>
              </w:rPr>
              <w:t>Article 6</w:t>
            </w:r>
            <w:r w:rsidRPr="00D1534C">
              <w:rPr>
                <w:rFonts w:ascii="Arial" w:hAnsi="Arial" w:cs="Arial"/>
                <w:sz w:val="24"/>
              </w:rPr>
              <w:t xml:space="preserve">: </w:t>
            </w:r>
          </w:p>
        </w:tc>
        <w:tc>
          <w:tcPr>
            <w:tcW w:w="6946" w:type="dxa"/>
          </w:tcPr>
          <w:p w14:paraId="0DA8878B" w14:textId="78463453" w:rsidR="00F54FF1" w:rsidRPr="00D1534C" w:rsidRDefault="00F54FF1" w:rsidP="00BB0EDF">
            <w:pPr>
              <w:autoSpaceDE w:val="0"/>
              <w:autoSpaceDN w:val="0"/>
              <w:adjustRightInd w:val="0"/>
              <w:jc w:val="both"/>
              <w:rPr>
                <w:rFonts w:ascii="Arial" w:hAnsi="Arial" w:cs="Arial"/>
                <w:i/>
                <w:color w:val="003399"/>
                <w:sz w:val="24"/>
              </w:rPr>
            </w:pPr>
            <w:r w:rsidRPr="004528E9">
              <w:rPr>
                <w:rFonts w:ascii="Arial" w:hAnsi="Arial" w:cs="Arial"/>
                <w:b/>
                <w:sz w:val="24"/>
              </w:rPr>
              <w:t>Article 9</w:t>
            </w:r>
            <w:r w:rsidRPr="00D1534C">
              <w:rPr>
                <w:rFonts w:ascii="Arial" w:hAnsi="Arial" w:cs="Arial"/>
                <w:sz w:val="24"/>
              </w:rPr>
              <w:t xml:space="preserve">: </w:t>
            </w:r>
          </w:p>
        </w:tc>
      </w:tr>
      <w:tr w:rsidR="00F54FF1" w:rsidRPr="00D1534C" w14:paraId="042BEFE6" w14:textId="77777777" w:rsidTr="00F54FF1">
        <w:trPr>
          <w:trHeight w:val="178"/>
        </w:trPr>
        <w:tc>
          <w:tcPr>
            <w:tcW w:w="7083" w:type="dxa"/>
          </w:tcPr>
          <w:p w14:paraId="0069EDBF" w14:textId="748C7C0A" w:rsidR="00F54FF1" w:rsidRPr="00EC0753" w:rsidRDefault="002904EA" w:rsidP="00BB0EDF">
            <w:pPr>
              <w:tabs>
                <w:tab w:val="left" w:pos="1889"/>
              </w:tabs>
              <w:autoSpaceDE w:val="0"/>
              <w:autoSpaceDN w:val="0"/>
              <w:adjustRightInd w:val="0"/>
              <w:jc w:val="both"/>
              <w:rPr>
                <w:rFonts w:ascii="Arial" w:hAnsi="Arial" w:cs="Arial"/>
                <w:i/>
                <w:color w:val="000000" w:themeColor="text1"/>
                <w:sz w:val="24"/>
              </w:rPr>
            </w:pPr>
            <w:sdt>
              <w:sdtPr>
                <w:rPr>
                  <w:rFonts w:ascii="Arial" w:hAnsi="Arial" w:cs="Arial"/>
                  <w:iCs/>
                  <w:color w:val="000000" w:themeColor="text1"/>
                  <w:sz w:val="24"/>
                </w:rPr>
                <w:alias w:val="Article 6"/>
                <w:tag w:val="Article 6"/>
                <w:id w:val="-174657111"/>
                <w:placeholder>
                  <w:docPart w:val="FD3C4A38E28F4E41BABD87ED18DEB311"/>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F54FF1" w:rsidRPr="00E927EE">
                  <w:rPr>
                    <w:rFonts w:ascii="Arial" w:hAnsi="Arial" w:cs="Arial"/>
                    <w:iCs/>
                    <w:color w:val="000000" w:themeColor="text1"/>
                    <w:sz w:val="24"/>
                  </w:rPr>
                  <w:t>Public Task</w:t>
                </w:r>
              </w:sdtContent>
            </w:sdt>
          </w:p>
        </w:tc>
        <w:tc>
          <w:tcPr>
            <w:tcW w:w="6946" w:type="dxa"/>
          </w:tcPr>
          <w:sdt>
            <w:sdtPr>
              <w:rPr>
                <w:rFonts w:ascii="Arial" w:hAnsi="Arial" w:cs="Arial"/>
                <w:color w:val="000000" w:themeColor="text1"/>
                <w:sz w:val="24"/>
              </w:rPr>
              <w:alias w:val="Article 9"/>
              <w:tag w:val="Article 9"/>
              <w:id w:val="7034825"/>
              <w:placeholder>
                <w:docPart w:val="417F828D5B9A4FDF9496F36B80B97968"/>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70F5C115" w:rsidR="00F54FF1" w:rsidRPr="00EC0753" w:rsidRDefault="00F54FF1"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760AC8BF" w14:textId="77777777" w:rsidR="00F54FF1" w:rsidRPr="00EC0753" w:rsidRDefault="00F54FF1" w:rsidP="00BB0EDF">
            <w:pPr>
              <w:autoSpaceDE w:val="0"/>
              <w:autoSpaceDN w:val="0"/>
              <w:adjustRightInd w:val="0"/>
              <w:jc w:val="both"/>
              <w:rPr>
                <w:rFonts w:ascii="Arial" w:hAnsi="Arial" w:cs="Arial"/>
                <w:i/>
                <w:color w:val="000000" w:themeColor="text1"/>
                <w:sz w:val="24"/>
              </w:rPr>
            </w:pPr>
          </w:p>
        </w:tc>
      </w:tr>
    </w:tbl>
    <w:p w14:paraId="5FB47D2D" w14:textId="77777777" w:rsidR="003B17AA" w:rsidRDefault="003B17AA" w:rsidP="005C04EB">
      <w:pPr>
        <w:spacing w:after="0"/>
      </w:pPr>
    </w:p>
    <w:p w14:paraId="6BB3AD24" w14:textId="7D7BBC11" w:rsidR="00031837" w:rsidRDefault="003D2D74" w:rsidP="003B17AA">
      <w:pPr>
        <w:spacing w:after="0"/>
        <w:rPr>
          <w:rFonts w:ascii="Arial" w:hAnsi="Arial" w:cs="Arial"/>
          <w:sz w:val="24"/>
        </w:rPr>
      </w:pPr>
      <w:r>
        <w:rPr>
          <w:rFonts w:ascii="Arial" w:hAnsi="Arial" w:cs="Arial"/>
          <w:sz w:val="24"/>
        </w:rPr>
        <w:t>Please list below o</w:t>
      </w:r>
      <w:r w:rsidRPr="00D1534C">
        <w:rPr>
          <w:rFonts w:ascii="Arial" w:hAnsi="Arial" w:cs="Arial"/>
          <w:sz w:val="24"/>
        </w:rPr>
        <w:t>ther</w:t>
      </w:r>
      <w:r>
        <w:rPr>
          <w:rFonts w:ascii="Arial" w:hAnsi="Arial" w:cs="Arial"/>
          <w:sz w:val="24"/>
        </w:rPr>
        <w:t xml:space="preserve"> relevant</w:t>
      </w:r>
      <w:r w:rsidRPr="00D1534C">
        <w:rPr>
          <w:rFonts w:ascii="Arial" w:hAnsi="Arial" w:cs="Arial"/>
          <w:sz w:val="24"/>
        </w:rPr>
        <w:t xml:space="preserve"> legislation or statute </w:t>
      </w:r>
      <w:r>
        <w:rPr>
          <w:rFonts w:ascii="Arial" w:hAnsi="Arial" w:cs="Arial"/>
          <w:sz w:val="24"/>
        </w:rPr>
        <w:t>below:</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39CD2A8A" w:rsidR="003D2D74" w:rsidRPr="00F54FF1" w:rsidRDefault="00543789" w:rsidP="004209F2">
            <w:pPr>
              <w:rPr>
                <w:rFonts w:ascii="Arial" w:hAnsi="Arial" w:cs="Arial"/>
                <w:sz w:val="24"/>
              </w:rPr>
            </w:pPr>
            <w:r w:rsidRPr="00F54FF1">
              <w:rPr>
                <w:rFonts w:ascii="Arial" w:hAnsi="Arial" w:cs="Arial"/>
                <w:sz w:val="24"/>
              </w:rPr>
              <w:t xml:space="preserve">Children’s Act 2004, Section 10 &amp; 11- Cooperation to improve well-being. </w:t>
            </w:r>
          </w:p>
        </w:tc>
      </w:tr>
      <w:tr w:rsidR="003D2D74" w14:paraId="233C8E28" w14:textId="77777777" w:rsidTr="003D2D74">
        <w:tc>
          <w:tcPr>
            <w:tcW w:w="13948" w:type="dxa"/>
          </w:tcPr>
          <w:p w14:paraId="49D59EDE" w14:textId="209EA81D" w:rsidR="003D2D74" w:rsidRPr="00F54FF1" w:rsidRDefault="00543789" w:rsidP="004209F2">
            <w:pPr>
              <w:rPr>
                <w:rFonts w:ascii="Arial" w:hAnsi="Arial" w:cs="Arial"/>
                <w:sz w:val="24"/>
              </w:rPr>
            </w:pPr>
            <w:r w:rsidRPr="00F54FF1">
              <w:rPr>
                <w:rFonts w:ascii="Arial" w:hAnsi="Arial" w:cs="Arial"/>
                <w:sz w:val="24"/>
              </w:rPr>
              <w:t>Children’s Act 1989. Part III: Section 17 (1) (provision of service)</w:t>
            </w:r>
          </w:p>
        </w:tc>
      </w:tr>
      <w:tr w:rsidR="003D2D74" w14:paraId="09E737EB" w14:textId="77777777" w:rsidTr="003D2D74">
        <w:tc>
          <w:tcPr>
            <w:tcW w:w="13948" w:type="dxa"/>
          </w:tcPr>
          <w:p w14:paraId="65265066" w14:textId="3F283680" w:rsidR="003D2D74" w:rsidRPr="00F54FF1" w:rsidRDefault="00E927EE" w:rsidP="004209F2">
            <w:pPr>
              <w:rPr>
                <w:rFonts w:ascii="Arial" w:hAnsi="Arial" w:cs="Arial"/>
                <w:sz w:val="24"/>
              </w:rPr>
            </w:pPr>
            <w:r w:rsidRPr="00F54FF1">
              <w:rPr>
                <w:rFonts w:ascii="Arial" w:hAnsi="Arial" w:cs="Arial"/>
                <w:sz w:val="24"/>
              </w:rPr>
              <w:t>Human Rights Act 1989</w:t>
            </w:r>
          </w:p>
        </w:tc>
      </w:tr>
    </w:tbl>
    <w:p w14:paraId="0EEACBB8" w14:textId="27E14B1A" w:rsidR="003D2D74" w:rsidRDefault="003D2D74" w:rsidP="005C04EB">
      <w:pPr>
        <w:spacing w:after="0"/>
      </w:pPr>
    </w:p>
    <w:p w14:paraId="090AF5BF" w14:textId="377F4495" w:rsidR="00384228" w:rsidRPr="003B17AA" w:rsidRDefault="00384228" w:rsidP="00384228">
      <w:pPr>
        <w:pStyle w:val="Heading1"/>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Pr="00D1534C">
                <w:rPr>
                  <w:rStyle w:val="Hyperlink"/>
                  <w:rFonts w:ascii="Arial" w:hAnsi="Arial" w:cs="Arial"/>
                  <w:sz w:val="24"/>
                </w:rPr>
                <w:t>https://eur-lex.europa.eu/legal-content/EN/TXT/HTML/?uri=CELEX:32016R0679&amp;from=EN</w:t>
              </w:r>
            </w:hyperlink>
            <w:r w:rsidRPr="00D1534C">
              <w:rPr>
                <w:rFonts w:ascii="Arial" w:hAnsi="Arial" w:cs="Arial"/>
                <w:sz w:val="24"/>
              </w:rPr>
              <w:t xml:space="preserve"> Articles 24 – 29 where these roles are explained.</w:t>
            </w:r>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b/>
              <w:sz w:val="40"/>
            </w:rPr>
            <w:id w:val="1118337010"/>
            <w14:checkbox>
              <w14:checked w14:val="1"/>
              <w14:checkedState w14:val="2612" w14:font="MS Gothic"/>
              <w14:uncheckedState w14:val="2610" w14:font="MS Gothic"/>
            </w14:checkbox>
          </w:sdtPr>
          <w:sdtEndPr/>
          <w:sdtContent>
            <w:tc>
              <w:tcPr>
                <w:tcW w:w="243" w:type="pct"/>
              </w:tcPr>
              <w:p w14:paraId="3EE75162" w14:textId="0A6B29DA" w:rsidR="004C16B2" w:rsidRPr="006619ED" w:rsidRDefault="003B1A0A" w:rsidP="00BB0EDF">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1089" w:type="pct"/>
          </w:tcPr>
          <w:p w14:paraId="4B2A04E7" w14:textId="3E9268FC" w:rsidR="004C16B2" w:rsidRDefault="003B1A0A" w:rsidP="00BB0EDF">
            <w:pPr>
              <w:autoSpaceDE w:val="0"/>
              <w:autoSpaceDN w:val="0"/>
              <w:adjustRightInd w:val="0"/>
              <w:rPr>
                <w:rFonts w:ascii="Arial" w:hAnsi="Arial" w:cs="Arial"/>
              </w:rPr>
            </w:pPr>
            <w:r>
              <w:rPr>
                <w:rFonts w:ascii="Arial" w:hAnsi="Arial" w:cs="Arial"/>
              </w:rPr>
              <w:t>Provide CIC, ECC</w:t>
            </w:r>
          </w:p>
        </w:tc>
      </w:tr>
      <w:tr w:rsidR="004C16B2" w14:paraId="7A81C72A" w14:textId="77777777" w:rsidTr="004C16B2">
        <w:tc>
          <w:tcPr>
            <w:tcW w:w="3668" w:type="pct"/>
            <w:vAlign w:val="center"/>
          </w:tcPr>
          <w:p w14:paraId="7E32CAF0" w14:textId="4C7F6F23"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r w:rsidR="002303F8">
              <w:rPr>
                <w:rFonts w:ascii="Arial" w:hAnsi="Arial" w:cs="Arial"/>
                <w:sz w:val="24"/>
              </w:rPr>
              <w:t xml:space="preserve"> </w:t>
            </w:r>
          </w:p>
        </w:tc>
        <w:sdt>
          <w:sdtPr>
            <w:rPr>
              <w:rFonts w:ascii="Arial" w:hAnsi="Arial" w:cs="Arial"/>
              <w:b/>
              <w:sz w:val="40"/>
            </w:rPr>
            <w:id w:val="-860826198"/>
            <w14:checkbox>
              <w14:checked w14:val="0"/>
              <w14:checkedState w14:val="2612" w14:font="MS Gothic"/>
              <w14:uncheckedState w14:val="2610" w14:font="MS Gothic"/>
            </w14:checkbox>
          </w:sdtPr>
          <w:sdtEndPr/>
          <w:sdtContent>
            <w:tc>
              <w:tcPr>
                <w:tcW w:w="243" w:type="pct"/>
              </w:tcPr>
              <w:p w14:paraId="7DA0562A" w14:textId="1959EB05" w:rsidR="004C16B2" w:rsidRPr="006619ED" w:rsidRDefault="003B1A0A" w:rsidP="00BB0EDF">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1089" w:type="pct"/>
          </w:tcPr>
          <w:p w14:paraId="0B168891" w14:textId="4C5A483F" w:rsidR="004C16B2" w:rsidRDefault="004C16B2" w:rsidP="00BB0EDF">
            <w:pPr>
              <w:autoSpaceDE w:val="0"/>
              <w:autoSpaceDN w:val="0"/>
              <w:adjustRightInd w:val="0"/>
              <w:rPr>
                <w:rFonts w:ascii="Arial" w:hAnsi="Arial" w:cs="Arial"/>
              </w:rPr>
            </w:pP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w:t>
            </w:r>
            <w:r w:rsidRPr="00D1534C">
              <w:rPr>
                <w:rFonts w:ascii="Arial" w:hAnsi="Arial" w:cs="Arial"/>
                <w:b/>
                <w:sz w:val="24"/>
              </w:rPr>
              <w:t>Joint Data Controllers</w:t>
            </w:r>
            <w:r w:rsidRPr="00D1534C">
              <w:rPr>
                <w:rFonts w:ascii="Arial" w:hAnsi="Arial" w:cs="Arial"/>
                <w:sz w:val="24"/>
              </w:rPr>
              <w:t xml:space="preserve">,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b/>
              <w:sz w:val="40"/>
            </w:rPr>
            <w:id w:val="1146080665"/>
            <w14:checkbox>
              <w14:checked w14:val="0"/>
              <w14:checkedState w14:val="2612" w14:font="MS Gothic"/>
              <w14:uncheckedState w14:val="2610" w14:font="MS Gothic"/>
            </w14:checkbox>
          </w:sdtPr>
          <w:sdtEndPr/>
          <w:sdtContent>
            <w:tc>
              <w:tcPr>
                <w:tcW w:w="243" w:type="pct"/>
              </w:tcPr>
              <w:p w14:paraId="6C90F98C" w14:textId="104FF474" w:rsidR="004C16B2" w:rsidRPr="006619ED" w:rsidRDefault="003B1A0A" w:rsidP="00BB0EDF">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1089" w:type="pct"/>
          </w:tcPr>
          <w:p w14:paraId="10C26786" w14:textId="11D26C0F"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72612F4C"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Data Processors party to this protocol are (please list):</w:t>
            </w:r>
          </w:p>
        </w:tc>
        <w:sdt>
          <w:sdtPr>
            <w:rPr>
              <w:rFonts w:ascii="Arial" w:hAnsi="Arial" w:cs="Arial"/>
              <w:b/>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sz w:val="40"/>
                  </w:rPr>
                </w:pPr>
                <w:r w:rsidRPr="006619ED">
                  <w:rPr>
                    <w:rFonts w:ascii="MS Gothic" w:eastAsia="MS Gothic" w:hAnsi="MS Gothic" w:cs="Arial" w:hint="eastAsia"/>
                    <w:b/>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5E001042" w14:textId="74AF2763" w:rsidR="00A44981" w:rsidRDefault="00A44981" w:rsidP="00A44981">
      <w:pPr>
        <w:autoSpaceDE w:val="0"/>
        <w:autoSpaceDN w:val="0"/>
        <w:adjustRightInd w:val="0"/>
        <w:jc w:val="both"/>
        <w:rPr>
          <w:rFonts w:asciiTheme="minorHAnsi" w:hAnsiTheme="minorHAnsi" w:cs="Arial"/>
          <w:b/>
          <w:color w:val="FF0000"/>
        </w:rPr>
      </w:pPr>
      <w:r w:rsidRPr="00D1534C">
        <w:rPr>
          <w:rFonts w:ascii="Arial" w:hAnsi="Arial" w:cs="Arial"/>
          <w:sz w:val="24"/>
        </w:rPr>
        <w:t xml:space="preserve">This Protocol will be reviewed </w:t>
      </w:r>
      <w:r w:rsidR="00984305">
        <w:rPr>
          <w:rFonts w:ascii="Arial" w:hAnsi="Arial" w:cs="Arial"/>
          <w:sz w:val="24"/>
        </w:rPr>
        <w:t>three</w:t>
      </w:r>
      <w:r w:rsidRPr="00D1534C">
        <w:rPr>
          <w:rFonts w:ascii="Arial" w:hAnsi="Arial" w:cs="Arial"/>
          <w:sz w:val="24"/>
        </w:rPr>
        <w:t xml:space="preserve"> year</w:t>
      </w:r>
      <w:r w:rsidR="00984305">
        <w:rPr>
          <w:rFonts w:ascii="Arial" w:hAnsi="Arial" w:cs="Arial"/>
          <w:sz w:val="24"/>
        </w:rPr>
        <w:t>s</w:t>
      </w:r>
      <w:r w:rsidRPr="00D1534C">
        <w:rPr>
          <w:rFonts w:ascii="Arial" w:hAnsi="Arial" w:cs="Arial"/>
          <w:sz w:val="24"/>
        </w:rPr>
        <w:t xml:space="preserve"> after it comes into operation to ensure that it remains fit for purpose. The review will be initiated by </w:t>
      </w:r>
      <w:r w:rsidR="00543789" w:rsidRPr="00543789">
        <w:rPr>
          <w:rFonts w:ascii="Arial" w:hAnsi="Arial" w:cs="Arial"/>
          <w:bCs/>
          <w:color w:val="000000" w:themeColor="text1"/>
          <w:sz w:val="24"/>
        </w:rPr>
        <w:t>Provide</w:t>
      </w:r>
      <w:r w:rsidR="00543789">
        <w:rPr>
          <w:rFonts w:ascii="Arial" w:hAnsi="Arial" w:cs="Arial"/>
          <w:bCs/>
          <w:color w:val="000000" w:themeColor="text1"/>
          <w:sz w:val="24"/>
        </w:rPr>
        <w:t>.</w:t>
      </w:r>
    </w:p>
    <w:p w14:paraId="50C2D8B2" w14:textId="52EDB070" w:rsidR="00A44981" w:rsidRPr="003B17AA" w:rsidRDefault="00A44981" w:rsidP="00A44981">
      <w:pPr>
        <w:pStyle w:val="Heading1"/>
        <w:rPr>
          <w:rStyle w:val="Hyperlink"/>
          <w:color w:val="auto"/>
          <w:sz w:val="52"/>
          <w:szCs w:val="24"/>
        </w:rPr>
      </w:pPr>
      <w:r w:rsidRPr="003B17AA">
        <w:rPr>
          <w:rStyle w:val="Hyperlink"/>
          <w:color w:val="auto"/>
          <w:sz w:val="52"/>
          <w:szCs w:val="24"/>
        </w:rPr>
        <w:lastRenderedPageBreak/>
        <w:t>5. Data Subject Rights</w:t>
      </w:r>
    </w:p>
    <w:p w14:paraId="03969C0C" w14:textId="17E11B44" w:rsidR="00F33592" w:rsidRPr="0042761F" w:rsidRDefault="0051410F" w:rsidP="00F33592">
      <w:pPr>
        <w:rPr>
          <w:rFonts w:ascii="Arial" w:hAnsi="Arial" w:cs="Arial"/>
          <w:color w:val="000000"/>
          <w:sz w:val="24"/>
          <w:szCs w:val="24"/>
        </w:rPr>
      </w:pPr>
      <w:r w:rsidRPr="0042761F">
        <w:rPr>
          <w:rFonts w:ascii="Arial" w:hAnsi="Arial" w:cs="Arial"/>
          <w:color w:val="000000"/>
          <w:sz w:val="24"/>
          <w:szCs w:val="24"/>
        </w:rPr>
        <w:t xml:space="preserve">Partner Agencies’ Information Sharing Agreements are made publicly available on the Wider Eastern Information Stakeholder Forum website to enable compliance with article 12 of the </w:t>
      </w:r>
      <w:r w:rsidR="00984305">
        <w:rPr>
          <w:rFonts w:ascii="Arial" w:hAnsi="Arial" w:cs="Arial"/>
          <w:color w:val="000000"/>
          <w:sz w:val="24"/>
          <w:szCs w:val="24"/>
        </w:rPr>
        <w:t xml:space="preserve">UK </w:t>
      </w:r>
      <w:r w:rsidRPr="0042761F">
        <w:rPr>
          <w:rFonts w:ascii="Arial" w:hAnsi="Arial" w:cs="Arial"/>
          <w:color w:val="000000"/>
          <w:sz w:val="24"/>
          <w:szCs w:val="24"/>
        </w:rPr>
        <w:t xml:space="preserve">GDPR.  </w:t>
      </w:r>
    </w:p>
    <w:p w14:paraId="5F964C7E" w14:textId="77777777"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It is for the organisation initiating the ISP to identify which rights apply, and then each Partner 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517037B7">
        <w:trPr>
          <w:jc w:val="center"/>
        </w:trPr>
        <w:tc>
          <w:tcPr>
            <w:tcW w:w="12186" w:type="dxa"/>
            <w:vAlign w:val="center"/>
          </w:tcPr>
          <w:p w14:paraId="1EBB91B6" w14:textId="77777777" w:rsidR="008A6D2F" w:rsidRDefault="008A6D2F" w:rsidP="00BB0EDF">
            <w:pPr>
              <w:jc w:val="center"/>
              <w:rPr>
                <w:rFonts w:ascii="Arial" w:hAnsi="Arial" w:cs="Arial"/>
                <w:b/>
                <w:color w:val="000000"/>
                <w:sz w:val="40"/>
              </w:rPr>
            </w:pPr>
            <w:r>
              <w:rPr>
                <w:rFonts w:ascii="Arial" w:hAnsi="Arial" w:cs="Arial"/>
                <w:b/>
                <w:color w:val="000000"/>
                <w:sz w:val="40"/>
              </w:rPr>
              <w:t xml:space="preserve">Subject </w:t>
            </w:r>
            <w:r w:rsidRPr="00DC7101">
              <w:rPr>
                <w:rFonts w:ascii="Arial" w:hAnsi="Arial" w:cs="Arial"/>
                <w:b/>
                <w:color w:val="000000"/>
                <w:sz w:val="40"/>
              </w:rPr>
              <w:t>Right</w:t>
            </w:r>
            <w:r>
              <w:rPr>
                <w:rFonts w:ascii="Arial" w:hAnsi="Arial" w:cs="Arial"/>
                <w:b/>
                <w:color w:val="000000"/>
                <w:sz w:val="40"/>
              </w:rPr>
              <w:t>s</w:t>
            </w:r>
          </w:p>
          <w:p w14:paraId="1CD1C551" w14:textId="77777777" w:rsidR="008A6D2F" w:rsidRPr="00DC7101" w:rsidRDefault="008A6D2F" w:rsidP="00BB0EDF">
            <w:pPr>
              <w:jc w:val="center"/>
              <w:rPr>
                <w:rFonts w:ascii="Arial" w:hAnsi="Arial" w:cs="Arial"/>
                <w:b/>
                <w:color w:val="000000"/>
              </w:rPr>
            </w:pPr>
            <w:r w:rsidRPr="006619ED">
              <w:rPr>
                <w:rFonts w:ascii="Arial" w:hAnsi="Arial" w:cs="Arial"/>
                <w:b/>
                <w:color w:val="000000"/>
                <w:sz w:val="32"/>
              </w:rPr>
              <w:t xml:space="preserve">Select the </w:t>
            </w:r>
            <w:hyperlink r:id="rId16" w:history="1">
              <w:r w:rsidRPr="00D1534C">
                <w:rPr>
                  <w:rStyle w:val="Hyperlink"/>
                  <w:rFonts w:ascii="Arial" w:hAnsi="Arial" w:cs="Arial"/>
                  <w:b/>
                  <w:sz w:val="32"/>
                </w:rPr>
                <w:t>applicable rights</w:t>
              </w:r>
            </w:hyperlink>
            <w:r w:rsidRPr="006619ED">
              <w:rPr>
                <w:rFonts w:ascii="Arial" w:hAnsi="Arial" w:cs="Arial"/>
                <w:b/>
                <w:color w:val="000000"/>
                <w:sz w:val="32"/>
              </w:rPr>
              <w:t xml:space="preserve"> for this sharing according to the legal basis you are relying on</w:t>
            </w:r>
          </w:p>
        </w:tc>
        <w:tc>
          <w:tcPr>
            <w:tcW w:w="1701" w:type="dxa"/>
          </w:tcPr>
          <w:p w14:paraId="368B71DE" w14:textId="379D2307" w:rsidR="008A6D2F" w:rsidRPr="00DC7101" w:rsidRDefault="14818A45" w:rsidP="517037B7">
            <w:pPr>
              <w:rPr>
                <w:rFonts w:ascii="Arial" w:hAnsi="Arial" w:cs="Arial"/>
                <w:b/>
                <w:bCs/>
                <w:color w:val="000000"/>
              </w:rPr>
            </w:pPr>
            <w:r w:rsidRPr="517037B7">
              <w:rPr>
                <w:rFonts w:ascii="Arial" w:hAnsi="Arial" w:cs="Arial"/>
                <w:sz w:val="24"/>
                <w:szCs w:val="24"/>
              </w:rPr>
              <w:t xml:space="preserve">Processes are in place to enact this right </w:t>
            </w:r>
            <w:r w:rsidR="789139F2" w:rsidRPr="517037B7">
              <w:rPr>
                <w:rFonts w:ascii="Arial" w:hAnsi="Arial" w:cs="Arial"/>
                <w:sz w:val="24"/>
                <w:szCs w:val="24"/>
              </w:rPr>
              <w:t>- please</w:t>
            </w:r>
            <w:r w:rsidRPr="517037B7">
              <w:rPr>
                <w:rFonts w:ascii="Arial" w:hAnsi="Arial" w:cs="Arial"/>
                <w:sz w:val="24"/>
                <w:szCs w:val="24"/>
              </w:rPr>
              <w:t xml:space="preserve"> check the box</w:t>
            </w:r>
            <w:r w:rsidRPr="517037B7">
              <w:rPr>
                <w:rFonts w:ascii="Arial" w:hAnsi="Arial" w:cs="Arial"/>
                <w:b/>
                <w:bCs/>
                <w:sz w:val="24"/>
                <w:szCs w:val="24"/>
              </w:rPr>
              <w:t xml:space="preserve"> </w:t>
            </w:r>
          </w:p>
        </w:tc>
      </w:tr>
      <w:tr w:rsidR="008A6D2F" w14:paraId="48E1F75D" w14:textId="77777777" w:rsidTr="517037B7">
        <w:trPr>
          <w:jc w:val="center"/>
        </w:trPr>
        <w:tc>
          <w:tcPr>
            <w:tcW w:w="12186" w:type="dxa"/>
          </w:tcPr>
          <w:p w14:paraId="67ECAFB3" w14:textId="1704743E" w:rsidR="008A6D2F" w:rsidRPr="006619ED" w:rsidRDefault="00984305" w:rsidP="00BB0EDF">
            <w:pPr>
              <w:rPr>
                <w:rFonts w:ascii="Arial" w:hAnsi="Arial" w:cs="Arial"/>
                <w:b/>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13&amp;14 – </w:t>
            </w:r>
            <w:r w:rsidR="008A6D2F" w:rsidRPr="006619ED">
              <w:rPr>
                <w:rFonts w:ascii="Arial" w:hAnsi="Arial" w:cs="Arial"/>
                <w:b/>
                <w:color w:val="000000"/>
                <w:sz w:val="24"/>
              </w:rPr>
              <w:t>Right to be Informed</w:t>
            </w:r>
            <w:r w:rsidR="008A6D2F" w:rsidRPr="006619ED">
              <w:rPr>
                <w:rFonts w:ascii="Arial" w:hAnsi="Arial" w:cs="Arial"/>
                <w:color w:val="000000"/>
                <w:sz w:val="24"/>
              </w:rPr>
              <w:t xml:space="preserve"> – Individuals must be informed about how their data is being used.  This sharing must be reflected in your privacy notices to ensure transparency.</w:t>
            </w:r>
          </w:p>
        </w:tc>
        <w:tc>
          <w:tcPr>
            <w:tcW w:w="1701" w:type="dxa"/>
            <w:vAlign w:val="center"/>
          </w:tcPr>
          <w:p w14:paraId="7E1D6614" w14:textId="1D4032EB"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2075396210"/>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4A14D321" w14:textId="77777777" w:rsidTr="517037B7">
        <w:trPr>
          <w:jc w:val="center"/>
        </w:trPr>
        <w:tc>
          <w:tcPr>
            <w:tcW w:w="12186" w:type="dxa"/>
          </w:tcPr>
          <w:p w14:paraId="1FDB8C6B" w14:textId="5CE9E1BF" w:rsidR="008A6D2F" w:rsidRPr="006619ED" w:rsidRDefault="00984305" w:rsidP="00BB0EDF">
            <w:pPr>
              <w:rPr>
                <w:rFonts w:ascii="Arial" w:hAnsi="Arial" w:cs="Arial"/>
                <w:b/>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w:t>
            </w:r>
            <w:r w:rsidR="008A6D2F" w:rsidRPr="006619ED">
              <w:rPr>
                <w:rFonts w:ascii="Arial" w:hAnsi="Arial" w:cs="Arial"/>
                <w:b/>
                <w:color w:val="000000"/>
                <w:sz w:val="24"/>
              </w:rPr>
              <w:t>Right of Access</w:t>
            </w:r>
            <w:r w:rsidR="008A6D2F" w:rsidRPr="006619ED">
              <w:rPr>
                <w:rFonts w:ascii="Arial" w:hAnsi="Arial" w:cs="Arial"/>
                <w:color w:val="000000"/>
                <w:sz w:val="24"/>
              </w:rPr>
              <w:t xml:space="preserve"> – Individuals have the right to request access to the information about them held by each Partner</w:t>
            </w:r>
          </w:p>
        </w:tc>
        <w:tc>
          <w:tcPr>
            <w:tcW w:w="1701" w:type="dxa"/>
            <w:vAlign w:val="center"/>
          </w:tcPr>
          <w:p w14:paraId="44A6B259" w14:textId="42A85A3F"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1073314764"/>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3F466B66" w14:textId="77777777" w:rsidTr="517037B7">
        <w:trPr>
          <w:jc w:val="center"/>
        </w:trPr>
        <w:tc>
          <w:tcPr>
            <w:tcW w:w="12186" w:type="dxa"/>
          </w:tcPr>
          <w:p w14:paraId="1BF467D1" w14:textId="5BB1DAC0" w:rsidR="008A6D2F" w:rsidRPr="006619ED" w:rsidRDefault="00984305"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w:t>
            </w:r>
            <w:r w:rsidR="008A6D2F" w:rsidRPr="006619ED">
              <w:rPr>
                <w:rFonts w:ascii="Arial" w:hAnsi="Arial" w:cs="Arial"/>
                <w:b/>
                <w:color w:val="000000"/>
                <w:sz w:val="24"/>
              </w:rPr>
              <w:t>Right to Rectification</w:t>
            </w:r>
            <w:r w:rsidR="008A6D2F" w:rsidRPr="006619ED">
              <w:rPr>
                <w:rFonts w:ascii="Arial" w:hAnsi="Arial" w:cs="Arial"/>
                <w:color w:val="000000"/>
                <w:sz w:val="24"/>
              </w:rPr>
              <w:t xml:space="preserve"> – Individuals have the right to have factually inaccurate data corrected, and incomplete data completed.  </w:t>
            </w:r>
          </w:p>
        </w:tc>
        <w:tc>
          <w:tcPr>
            <w:tcW w:w="1701" w:type="dxa"/>
            <w:vAlign w:val="center"/>
          </w:tcPr>
          <w:p w14:paraId="0A3F73B4" w14:textId="0690CC3F"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1357954136"/>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105D8807" w14:textId="77777777" w:rsidTr="517037B7">
        <w:trPr>
          <w:jc w:val="center"/>
        </w:trPr>
        <w:tc>
          <w:tcPr>
            <w:tcW w:w="12186" w:type="dxa"/>
          </w:tcPr>
          <w:p w14:paraId="0B930BF0" w14:textId="5AE6B342" w:rsidR="008A6D2F" w:rsidRPr="006619ED" w:rsidRDefault="00984305"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GDPR Article 17 (1)(</w:t>
            </w:r>
            <w:proofErr w:type="gramStart"/>
            <w:r w:rsidR="008A6D2F" w:rsidRPr="006619ED">
              <w:rPr>
                <w:rFonts w:ascii="Arial" w:hAnsi="Arial" w:cs="Arial"/>
                <w:color w:val="000000"/>
                <w:sz w:val="24"/>
              </w:rPr>
              <w:t>b)&amp;</w:t>
            </w:r>
            <w:proofErr w:type="gramEnd"/>
            <w:r w:rsidR="008A6D2F" w:rsidRPr="006619ED">
              <w:rPr>
                <w:rFonts w:ascii="Arial" w:hAnsi="Arial" w:cs="Arial"/>
                <w:color w:val="000000"/>
                <w:sz w:val="24"/>
              </w:rPr>
              <w:t xml:space="preserve">(e) – </w:t>
            </w:r>
            <w:r w:rsidR="008A6D2F" w:rsidRPr="006619ED">
              <w:rPr>
                <w:rFonts w:ascii="Arial" w:hAnsi="Arial" w:cs="Arial"/>
                <w:b/>
                <w:color w:val="000000"/>
                <w:sz w:val="24"/>
              </w:rPr>
              <w:t>Right to be forgotten</w:t>
            </w:r>
            <w:r w:rsidR="008A6D2F" w:rsidRPr="006619ED">
              <w:rPr>
                <w:rFonts w:ascii="Arial" w:hAnsi="Arial" w:cs="Arial"/>
                <w:color w:val="000000"/>
                <w:sz w:val="24"/>
              </w:rPr>
              <w:t xml:space="preserve"> – This right may apply</w:t>
            </w:r>
            <w:r w:rsidR="008A6D2F">
              <w:rPr>
                <w:rFonts w:ascii="Arial" w:hAnsi="Arial" w:cs="Arial"/>
                <w:color w:val="000000"/>
                <w:sz w:val="24"/>
              </w:rPr>
              <w:t xml:space="preserve"> where the sharing is based on C</w:t>
            </w:r>
            <w:r w:rsidR="008A6D2F" w:rsidRPr="006619ED">
              <w:rPr>
                <w:rFonts w:ascii="Arial" w:hAnsi="Arial" w:cs="Arial"/>
                <w:color w:val="000000"/>
                <w:sz w:val="24"/>
              </w:rPr>
              <w:t xml:space="preserve">onsent, </w:t>
            </w:r>
            <w:r w:rsidR="008A6D2F">
              <w:rPr>
                <w:rFonts w:ascii="Arial" w:hAnsi="Arial" w:cs="Arial"/>
                <w:color w:val="000000"/>
                <w:sz w:val="24"/>
              </w:rPr>
              <w:t xml:space="preserve">Contract or Legitimate Interests, </w:t>
            </w:r>
            <w:r w:rsidR="008A6D2F" w:rsidRPr="006619ED">
              <w:rPr>
                <w:rFonts w:ascii="Arial" w:hAnsi="Arial" w:cs="Arial"/>
                <w:color w:val="000000"/>
                <w:sz w:val="24"/>
              </w:rPr>
              <w:t>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r w:rsidR="008A6D2F">
              <w:rPr>
                <w:rFonts w:ascii="Arial" w:hAnsi="Arial" w:cs="Arial"/>
                <w:color w:val="000000"/>
                <w:sz w:val="24"/>
              </w:rPr>
              <w:t>.</w:t>
            </w:r>
          </w:p>
        </w:tc>
        <w:tc>
          <w:tcPr>
            <w:tcW w:w="1701" w:type="dxa"/>
            <w:vAlign w:val="center"/>
          </w:tcPr>
          <w:p w14:paraId="233DAE89" w14:textId="03EA4979"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b/>
                    <w:color w:val="000000"/>
                    <w:sz w:val="36"/>
                  </w:rPr>
                  <w:t>☐</w:t>
                </w:r>
              </w:sdtContent>
            </w:sdt>
          </w:p>
        </w:tc>
      </w:tr>
      <w:tr w:rsidR="008A6D2F" w14:paraId="5E05E78C" w14:textId="77777777" w:rsidTr="517037B7">
        <w:trPr>
          <w:jc w:val="center"/>
        </w:trPr>
        <w:tc>
          <w:tcPr>
            <w:tcW w:w="12186" w:type="dxa"/>
          </w:tcPr>
          <w:p w14:paraId="6F38283E" w14:textId="5C997800" w:rsidR="008A6D2F" w:rsidRPr="006619ED" w:rsidRDefault="00984305"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w:t>
            </w:r>
            <w:r w:rsidR="008A6D2F" w:rsidRPr="006619ED">
              <w:rPr>
                <w:rFonts w:ascii="Arial" w:hAnsi="Arial" w:cs="Arial"/>
                <w:b/>
                <w:color w:val="000000"/>
                <w:sz w:val="24"/>
              </w:rPr>
              <w:t>Right to Restriction</w:t>
            </w:r>
            <w:r w:rsidR="008A6D2F" w:rsidRPr="006619ED">
              <w:rPr>
                <w:rFonts w:ascii="Arial" w:hAnsi="Arial" w:cs="Arial"/>
                <w:color w:val="000000"/>
                <w:sz w:val="24"/>
              </w:rPr>
              <w:t xml:space="preserve"> – Individuals shall have the right to restrict the use of their data pending investigation into complaints.  </w:t>
            </w:r>
          </w:p>
        </w:tc>
        <w:tc>
          <w:tcPr>
            <w:tcW w:w="1701" w:type="dxa"/>
            <w:vAlign w:val="center"/>
          </w:tcPr>
          <w:p w14:paraId="586CB919" w14:textId="60A0DCBA"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212811159"/>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66A1C68E" w14:textId="77777777" w:rsidTr="517037B7">
        <w:trPr>
          <w:jc w:val="center"/>
        </w:trPr>
        <w:tc>
          <w:tcPr>
            <w:tcW w:w="12186" w:type="dxa"/>
          </w:tcPr>
          <w:p w14:paraId="2390BC2E" w14:textId="7D250D3F" w:rsidR="008A6D2F" w:rsidRPr="006619ED" w:rsidRDefault="00984305"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w:t>
            </w:r>
            <w:r w:rsidR="008A6D2F" w:rsidRPr="006619ED">
              <w:rPr>
                <w:rFonts w:ascii="Arial" w:hAnsi="Arial" w:cs="Arial"/>
                <w:b/>
                <w:color w:val="000000"/>
                <w:sz w:val="24"/>
              </w:rPr>
              <w:t>Notification</w:t>
            </w:r>
            <w:r w:rsidR="008A6D2F" w:rsidRPr="006619ED">
              <w:rPr>
                <w:rFonts w:ascii="Arial" w:hAnsi="Arial" w:cs="Arial"/>
                <w:color w:val="000000"/>
                <w:sz w:val="24"/>
              </w:rPr>
              <w:t xml:space="preserve"> – Data Controllers must notify</w:t>
            </w:r>
            <w:r w:rsidR="008A6D2F">
              <w:rPr>
                <w:rFonts w:ascii="Arial" w:hAnsi="Arial" w:cs="Arial"/>
                <w:color w:val="000000"/>
                <w:sz w:val="24"/>
              </w:rPr>
              <w:t xml:space="preserve"> the data subjects and</w:t>
            </w:r>
            <w:r w:rsidR="008A6D2F" w:rsidRPr="006619ED">
              <w:rPr>
                <w:rFonts w:ascii="Arial" w:hAnsi="Arial" w:cs="Arial"/>
                <w:color w:val="000000"/>
                <w:sz w:val="24"/>
              </w:rPr>
              <w:t xml:space="preserve"> other recipients of the personal data under the terms of this protocol of any rectification or restrict</w:t>
            </w:r>
            <w:r w:rsidR="0044205F">
              <w:rPr>
                <w:rFonts w:ascii="Arial" w:hAnsi="Arial" w:cs="Arial"/>
                <w:color w:val="000000"/>
                <w:sz w:val="24"/>
              </w:rPr>
              <w:t>ion</w:t>
            </w:r>
            <w:r w:rsidR="008A6D2F" w:rsidRPr="006619ED">
              <w:rPr>
                <w:rFonts w:ascii="Arial" w:hAnsi="Arial" w:cs="Arial"/>
                <w:color w:val="000000"/>
                <w:sz w:val="24"/>
              </w:rPr>
              <w:t>, unless it involves disproportionate effort.</w:t>
            </w:r>
          </w:p>
        </w:tc>
        <w:tc>
          <w:tcPr>
            <w:tcW w:w="1701" w:type="dxa"/>
            <w:vAlign w:val="center"/>
          </w:tcPr>
          <w:p w14:paraId="028FEDC8" w14:textId="18AA4F24"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1820342074"/>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0E7B116B" w14:textId="77777777" w:rsidTr="517037B7">
        <w:trPr>
          <w:jc w:val="center"/>
        </w:trPr>
        <w:tc>
          <w:tcPr>
            <w:tcW w:w="12186" w:type="dxa"/>
          </w:tcPr>
          <w:p w14:paraId="674B1891" w14:textId="1B1CF709" w:rsidR="008A6D2F" w:rsidRPr="006619ED" w:rsidRDefault="00984305" w:rsidP="00BB0EDF">
            <w:pPr>
              <w:rPr>
                <w:rFonts w:ascii="Arial" w:hAnsi="Arial" w:cs="Arial"/>
                <w:color w:val="000000"/>
                <w:sz w:val="24"/>
              </w:rPr>
            </w:pPr>
            <w:r>
              <w:rPr>
                <w:rFonts w:ascii="Arial" w:hAnsi="Arial" w:cs="Arial"/>
                <w:color w:val="000000"/>
                <w:sz w:val="24"/>
              </w:rPr>
              <w:t xml:space="preserve">UK GDPR </w:t>
            </w:r>
            <w:r w:rsidR="008A6D2F" w:rsidRPr="006619ED">
              <w:rPr>
                <w:rFonts w:ascii="Arial" w:hAnsi="Arial" w:cs="Arial"/>
                <w:color w:val="000000"/>
                <w:sz w:val="24"/>
              </w:rPr>
              <w:t xml:space="preserve">Article 21 – </w:t>
            </w:r>
            <w:r w:rsidR="008A6D2F" w:rsidRPr="006619ED">
              <w:rPr>
                <w:rFonts w:ascii="Arial" w:hAnsi="Arial" w:cs="Arial"/>
                <w:b/>
                <w:color w:val="000000"/>
                <w:sz w:val="24"/>
              </w:rPr>
              <w:t>The Right to Object</w:t>
            </w:r>
            <w:r w:rsidR="008A6D2F" w:rsidRPr="006619ED">
              <w:rPr>
                <w:rFonts w:ascii="Arial" w:hAnsi="Arial" w:cs="Arial"/>
                <w:color w:val="000000"/>
                <w:sz w:val="24"/>
              </w:rPr>
              <w:t xml:space="preserve"> – Individuals have the right to object to any processing which relies on</w:t>
            </w:r>
            <w:r w:rsidR="008A6D2F">
              <w:rPr>
                <w:rFonts w:ascii="Arial" w:hAnsi="Arial" w:cs="Arial"/>
                <w:color w:val="000000"/>
                <w:sz w:val="24"/>
              </w:rPr>
              <w:t xml:space="preserve"> Consent, Legitimate Interests, or Public Task</w:t>
            </w:r>
            <w:r w:rsidR="008A6D2F" w:rsidRPr="006619ED">
              <w:rPr>
                <w:rFonts w:ascii="Arial" w:hAnsi="Arial" w:cs="Arial"/>
                <w:color w:val="000000"/>
                <w:sz w:val="24"/>
              </w:rPr>
              <w:t xml:space="preserve">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2B2A79F1"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1447616176"/>
                <w14:checkbox>
                  <w14:checked w14:val="1"/>
                  <w14:checkedState w14:val="2612" w14:font="MS Gothic"/>
                  <w14:uncheckedState w14:val="2610" w14:font="MS Gothic"/>
                </w14:checkbox>
              </w:sdtPr>
              <w:sdtEndPr/>
              <w:sdtContent>
                <w:r w:rsidR="00984305">
                  <w:rPr>
                    <w:rFonts w:ascii="MS Gothic" w:eastAsia="MS Gothic" w:hAnsi="MS Gothic" w:cs="Arial" w:hint="eastAsia"/>
                    <w:b/>
                    <w:color w:val="000000"/>
                    <w:sz w:val="36"/>
                  </w:rPr>
                  <w:t>☒</w:t>
                </w:r>
              </w:sdtContent>
            </w:sdt>
          </w:p>
        </w:tc>
      </w:tr>
      <w:tr w:rsidR="008A6D2F" w14:paraId="39E171C8" w14:textId="77777777" w:rsidTr="517037B7">
        <w:trPr>
          <w:jc w:val="center"/>
        </w:trPr>
        <w:tc>
          <w:tcPr>
            <w:tcW w:w="12186" w:type="dxa"/>
          </w:tcPr>
          <w:p w14:paraId="2257E5E7" w14:textId="0C51DF1F" w:rsidR="008A6D2F" w:rsidRPr="006619ED" w:rsidRDefault="14818A45" w:rsidP="517037B7">
            <w:pPr>
              <w:rPr>
                <w:rFonts w:ascii="Arial" w:hAnsi="Arial" w:cs="Arial"/>
                <w:color w:val="000000"/>
                <w:sz w:val="24"/>
                <w:szCs w:val="24"/>
              </w:rPr>
            </w:pPr>
            <w:r w:rsidRPr="517037B7">
              <w:rPr>
                <w:rFonts w:ascii="Arial" w:hAnsi="Arial" w:cs="Arial"/>
                <w:color w:val="000000" w:themeColor="text1"/>
                <w:sz w:val="24"/>
                <w:szCs w:val="24"/>
              </w:rPr>
              <w:lastRenderedPageBreak/>
              <w:t xml:space="preserve">Article 22 – </w:t>
            </w:r>
            <w:r w:rsidRPr="517037B7">
              <w:rPr>
                <w:rFonts w:ascii="Arial" w:hAnsi="Arial" w:cs="Arial"/>
                <w:b/>
                <w:bCs/>
                <w:color w:val="000000" w:themeColor="text1"/>
                <w:sz w:val="24"/>
                <w:szCs w:val="24"/>
              </w:rPr>
              <w:t xml:space="preserve">Automated </w:t>
            </w:r>
            <w:r w:rsidR="550B6648" w:rsidRPr="517037B7">
              <w:rPr>
                <w:rFonts w:ascii="Arial" w:hAnsi="Arial" w:cs="Arial"/>
                <w:b/>
                <w:bCs/>
                <w:color w:val="000000" w:themeColor="text1"/>
                <w:sz w:val="24"/>
                <w:szCs w:val="24"/>
              </w:rPr>
              <w:t>Decision-Making</w:t>
            </w:r>
            <w:r w:rsidRPr="517037B7">
              <w:rPr>
                <w:rFonts w:ascii="Arial" w:hAnsi="Arial" w:cs="Arial"/>
                <w:b/>
                <w:bCs/>
                <w:color w:val="000000" w:themeColor="text1"/>
                <w:sz w:val="24"/>
                <w:szCs w:val="24"/>
              </w:rPr>
              <w:t xml:space="preserve"> including Profiling</w:t>
            </w:r>
            <w:r w:rsidRPr="517037B7">
              <w:rPr>
                <w:rFonts w:ascii="Arial" w:hAnsi="Arial" w:cs="Arial"/>
                <w:color w:val="000000" w:themeColor="text1"/>
                <w:sz w:val="24"/>
                <w:szCs w:val="24"/>
              </w:rPr>
              <w:t xml:space="preserve"> – the Individual has the right to request that a human being </w:t>
            </w:r>
            <w:proofErr w:type="gramStart"/>
            <w:r w:rsidRPr="517037B7">
              <w:rPr>
                <w:rFonts w:ascii="Arial" w:hAnsi="Arial" w:cs="Arial"/>
                <w:color w:val="000000" w:themeColor="text1"/>
                <w:sz w:val="24"/>
                <w:szCs w:val="24"/>
              </w:rPr>
              <w:t>makes a decision</w:t>
            </w:r>
            <w:proofErr w:type="gramEnd"/>
            <w:r w:rsidRPr="517037B7">
              <w:rPr>
                <w:rFonts w:ascii="Arial" w:hAnsi="Arial" w:cs="Arial"/>
                <w:color w:val="000000" w:themeColor="text1"/>
                <w:sz w:val="24"/>
                <w:szCs w:val="24"/>
              </w:rPr>
              <w:t xml:space="preserve"> rather than a computer, unless it is required by law.</w:t>
            </w:r>
            <w:r w:rsidR="26F6F94A" w:rsidRPr="517037B7">
              <w:rPr>
                <w:rFonts w:ascii="Arial" w:hAnsi="Arial" w:cs="Arial"/>
                <w:color w:val="000000" w:themeColor="text1"/>
                <w:sz w:val="24"/>
                <w:szCs w:val="24"/>
              </w:rPr>
              <w:t xml:space="preserve">  The individual also has the right</w:t>
            </w:r>
            <w:r w:rsidR="5846B74C" w:rsidRPr="517037B7">
              <w:rPr>
                <w:rFonts w:ascii="Arial" w:hAnsi="Arial" w:cs="Arial"/>
                <w:color w:val="000000" w:themeColor="text1"/>
                <w:sz w:val="24"/>
                <w:szCs w:val="24"/>
              </w:rPr>
              <w:t xml:space="preserve"> to object to profiling which places legal effects on them.</w:t>
            </w:r>
          </w:p>
        </w:tc>
        <w:tc>
          <w:tcPr>
            <w:tcW w:w="1701" w:type="dxa"/>
          </w:tcPr>
          <w:p w14:paraId="211B92F4" w14:textId="49F6A9C8"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b/>
                    <w:color w:val="000000"/>
                    <w:sz w:val="36"/>
                  </w:rPr>
                  <w:t>☐</w:t>
                </w:r>
              </w:sdtContent>
            </w:sdt>
          </w:p>
        </w:tc>
      </w:tr>
      <w:tr w:rsidR="008A6D2F" w14:paraId="693A52B3" w14:textId="77777777" w:rsidTr="517037B7">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b/>
                <w:color w:val="000000"/>
                <w:sz w:val="24"/>
              </w:rPr>
              <w:t>Freedom of Information</w:t>
            </w:r>
            <w:r w:rsidRPr="006619ED">
              <w:rPr>
                <w:rFonts w:ascii="Arial" w:hAnsi="Arial" w:cs="Arial"/>
                <w:color w:val="000000"/>
                <w:sz w:val="24"/>
              </w:rPr>
              <w:t xml:space="preserve"> (FOI) Act 2000 or </w:t>
            </w:r>
            <w:r w:rsidRPr="006619ED">
              <w:rPr>
                <w:rFonts w:ascii="Arial" w:hAnsi="Arial" w:cs="Arial"/>
                <w:b/>
                <w:color w:val="000000"/>
                <w:sz w:val="24"/>
              </w:rPr>
              <w:t>Environmental Information Regulations</w:t>
            </w:r>
            <w:r w:rsidRPr="006619ED">
              <w:rPr>
                <w:rFonts w:ascii="Arial" w:hAnsi="Arial" w:cs="Arial"/>
                <w:color w:val="000000"/>
                <w:sz w:val="24"/>
              </w:rPr>
              <w:t xml:space="preserve">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Pr>
                <w:rFonts w:ascii="Arial" w:hAnsi="Arial" w:cs="Arial"/>
                <w:color w:val="000000"/>
                <w:sz w:val="24"/>
              </w:rPr>
              <w:t>I</w:t>
            </w:r>
            <w:r w:rsidRPr="006619ED">
              <w:rPr>
                <w:rFonts w:ascii="Arial" w:hAnsi="Arial" w:cs="Arial"/>
                <w:color w:val="000000"/>
                <w:sz w:val="24"/>
              </w:rPr>
              <w:t>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07A8B341" w:rsidR="008A6D2F" w:rsidRPr="006619ED" w:rsidRDefault="002904EA" w:rsidP="00DF50E5">
            <w:pPr>
              <w:jc w:val="center"/>
              <w:rPr>
                <w:rFonts w:ascii="Arial" w:hAnsi="Arial" w:cs="Arial"/>
                <w:b/>
                <w:color w:val="000000"/>
                <w:sz w:val="36"/>
              </w:rPr>
            </w:pPr>
            <w:sdt>
              <w:sdtPr>
                <w:rPr>
                  <w:rFonts w:ascii="Arial" w:hAnsi="Arial" w:cs="Arial"/>
                  <w:b/>
                  <w:color w:val="000000"/>
                  <w:sz w:val="36"/>
                </w:rPr>
                <w:id w:val="-2002651613"/>
                <w14:checkbox>
                  <w14:checked w14:val="1"/>
                  <w14:checkedState w14:val="2612" w14:font="MS Gothic"/>
                  <w14:uncheckedState w14:val="2610" w14:font="MS Gothic"/>
                </w14:checkbox>
              </w:sdtPr>
              <w:sdtEndPr/>
              <w:sdtContent>
                <w:r w:rsidR="00BB5E1B">
                  <w:rPr>
                    <w:rFonts w:ascii="MS Gothic" w:eastAsia="MS Gothic" w:hAnsi="MS Gothic" w:cs="Arial" w:hint="eastAsia"/>
                    <w:b/>
                    <w:color w:val="000000"/>
                    <w:sz w:val="36"/>
                  </w:rPr>
                  <w:t>☒</w:t>
                </w:r>
              </w:sdtContent>
            </w:sdt>
          </w:p>
        </w:tc>
      </w:tr>
    </w:tbl>
    <w:p w14:paraId="42230E72" w14:textId="3C789B63" w:rsidR="0051410F" w:rsidRDefault="0051410F" w:rsidP="00F33592">
      <w:pPr>
        <w:rPr>
          <w:rFonts w:ascii="Arial" w:hAnsi="Arial" w:cs="Arial"/>
        </w:rPr>
      </w:pPr>
    </w:p>
    <w:p w14:paraId="79EDEA1F" w14:textId="7E3B707D" w:rsidR="002B11E5" w:rsidRPr="003B17AA" w:rsidRDefault="002B11E5" w:rsidP="002B11E5">
      <w:pPr>
        <w:pStyle w:val="Heading1"/>
        <w:rPr>
          <w:rStyle w:val="Hyperlink"/>
          <w:color w:val="auto"/>
          <w:sz w:val="52"/>
          <w:szCs w:val="52"/>
        </w:rPr>
      </w:pPr>
      <w:r w:rsidRPr="517037B7">
        <w:rPr>
          <w:rStyle w:val="Hyperlink"/>
          <w:color w:val="auto"/>
          <w:sz w:val="52"/>
          <w:szCs w:val="52"/>
        </w:rPr>
        <w:t>6. Security of Information</w:t>
      </w:r>
    </w:p>
    <w:p w14:paraId="5F5F8425" w14:textId="13D13297"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BB5E1B">
        <w:rPr>
          <w:rFonts w:ascii="Arial" w:hAnsi="Arial" w:cs="Arial"/>
          <w:sz w:val="24"/>
        </w:rPr>
        <w:t xml:space="preserve">UK </w:t>
      </w:r>
      <w:r w:rsidR="77EC8050" w:rsidRPr="0067347C">
        <w:rPr>
          <w:rFonts w:ascii="Arial" w:hAnsi="Arial" w:cs="Arial"/>
          <w:sz w:val="24"/>
        </w:rPr>
        <w:t>GDPR as applied by the Data Protection Act 2018.</w:t>
      </w:r>
    </w:p>
    <w:p w14:paraId="2ECC0144" w14:textId="1FA7879D" w:rsidR="00B530EC" w:rsidRPr="0006727B" w:rsidRDefault="00FA6907" w:rsidP="00F97118">
      <w:pPr>
        <w:autoSpaceDE w:val="0"/>
        <w:autoSpaceDN w:val="0"/>
        <w:adjustRightInd w:val="0"/>
        <w:contextualSpacing/>
        <w:jc w:val="both"/>
        <w:rPr>
          <w:rFonts w:ascii="Arial" w:hAnsi="Arial" w:cs="Arial"/>
          <w:b/>
          <w:bCs/>
          <w:sz w:val="24"/>
        </w:rPr>
      </w:pPr>
      <w:r w:rsidRPr="0006727B">
        <w:rPr>
          <w:rFonts w:ascii="Arial" w:hAnsi="Arial" w:cs="Arial"/>
          <w:b/>
          <w:bCs/>
          <w:sz w:val="24"/>
        </w:rPr>
        <w:t>The security of the personal data in transit</w:t>
      </w:r>
      <w:r w:rsidR="00634957" w:rsidRPr="0006727B">
        <w:rPr>
          <w:rFonts w:ascii="Arial" w:hAnsi="Arial" w:cs="Arial"/>
          <w:b/>
          <w:bCs/>
          <w:sz w:val="24"/>
        </w:rPr>
        <w:t xml:space="preserve"> will be assured </w:t>
      </w:r>
      <w:proofErr w:type="gramStart"/>
      <w:r w:rsidR="00634957" w:rsidRPr="0006727B">
        <w:rPr>
          <w:rFonts w:ascii="Arial" w:hAnsi="Arial" w:cs="Arial"/>
          <w:b/>
          <w:bCs/>
          <w:sz w:val="24"/>
        </w:rPr>
        <w:t>by:</w:t>
      </w:r>
      <w:proofErr w:type="gramEnd"/>
      <w:r w:rsidR="0006727B" w:rsidRPr="0006727B">
        <w:rPr>
          <w:rFonts w:ascii="Arial" w:hAnsi="Arial" w:cs="Arial"/>
          <w:b/>
          <w:bCs/>
          <w:sz w:val="24"/>
        </w:rPr>
        <w:t xml:space="preserve"> sending an excel spreadsheet via secure email.</w:t>
      </w:r>
    </w:p>
    <w:p w14:paraId="357FFC8F" w14:textId="77777777" w:rsidR="00F97118" w:rsidRPr="00D1534C" w:rsidRDefault="00F97118" w:rsidP="00F97118">
      <w:pPr>
        <w:autoSpaceDE w:val="0"/>
        <w:autoSpaceDN w:val="0"/>
        <w:adjustRightInd w:val="0"/>
        <w:contextualSpacing/>
        <w:jc w:val="both"/>
        <w:rPr>
          <w:rFonts w:asciiTheme="minorHAnsi" w:hAnsiTheme="minorHAnsi" w:cs="Arial"/>
          <w:b/>
          <w:color w:val="FF0000"/>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77777777" w:rsidR="00F97118" w:rsidRPr="00D1534C" w:rsidRDefault="00F97118" w:rsidP="00F97118">
      <w:pPr>
        <w:numPr>
          <w:ilvl w:val="0"/>
          <w:numId w:val="5"/>
        </w:numPr>
        <w:autoSpaceDE w:val="0"/>
        <w:autoSpaceDN w:val="0"/>
        <w:adjustRightInd w:val="0"/>
        <w:contextualSpacing/>
        <w:jc w:val="both"/>
        <w:rPr>
          <w:rFonts w:ascii="Arial" w:hAnsi="Arial" w:cs="Arial"/>
          <w:sz w:val="24"/>
        </w:rPr>
      </w:pPr>
      <w:r w:rsidRPr="00D1534C">
        <w:rPr>
          <w:rFonts w:ascii="Arial" w:hAnsi="Arial" w:cs="Arial"/>
          <w:sz w:val="24"/>
        </w:rPr>
        <w:t xml:space="preserve">Ensure that their employees are appropriately trained to understand their responsibilities to maintain confidentiality and </w:t>
      </w:r>
      <w:proofErr w:type="gramStart"/>
      <w:r w:rsidRPr="00D1534C">
        <w:rPr>
          <w:rFonts w:ascii="Arial" w:hAnsi="Arial" w:cs="Arial"/>
          <w:sz w:val="24"/>
        </w:rPr>
        <w:t>privacy;</w:t>
      </w:r>
      <w:proofErr w:type="gramEnd"/>
    </w:p>
    <w:p w14:paraId="4E553E4A" w14:textId="77777777" w:rsidR="00F97118" w:rsidRPr="00D1534C" w:rsidRDefault="00F97118" w:rsidP="00F97118">
      <w:pPr>
        <w:numPr>
          <w:ilvl w:val="0"/>
          <w:numId w:val="5"/>
        </w:numPr>
        <w:autoSpaceDE w:val="0"/>
        <w:autoSpaceDN w:val="0"/>
        <w:adjustRightInd w:val="0"/>
        <w:contextualSpacing/>
        <w:jc w:val="both"/>
        <w:rPr>
          <w:rFonts w:ascii="Arial" w:hAnsi="Arial" w:cs="Arial"/>
          <w:sz w:val="24"/>
        </w:rPr>
      </w:pPr>
      <w:r w:rsidRPr="00D1534C">
        <w:rPr>
          <w:rFonts w:ascii="Arial" w:hAnsi="Arial" w:cs="Arial"/>
          <w:sz w:val="24"/>
        </w:rPr>
        <w:t xml:space="preserve">Protect the physical security of the shared </w:t>
      </w:r>
      <w:proofErr w:type="gramStart"/>
      <w:r w:rsidRPr="00D1534C">
        <w:rPr>
          <w:rFonts w:ascii="Arial" w:hAnsi="Arial" w:cs="Arial"/>
          <w:sz w:val="24"/>
        </w:rPr>
        <w:t>information;</w:t>
      </w:r>
      <w:proofErr w:type="gramEnd"/>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77777777" w:rsidR="00F97118" w:rsidRPr="00D1534C" w:rsidRDefault="00F97118" w:rsidP="00F97118">
      <w:pPr>
        <w:pStyle w:val="ListParagraph"/>
        <w:numPr>
          <w:ilvl w:val="0"/>
          <w:numId w:val="5"/>
        </w:numPr>
        <w:autoSpaceDE w:val="0"/>
        <w:autoSpaceDN w:val="0"/>
        <w:adjustRightInd w:val="0"/>
        <w:jc w:val="both"/>
        <w:rPr>
          <w:rFonts w:ascii="Arial" w:hAnsi="Arial" w:cs="Arial"/>
          <w:sz w:val="24"/>
        </w:rPr>
      </w:pPr>
      <w:r w:rsidRPr="00D1534C">
        <w:rPr>
          <w:rFonts w:ascii="Arial" w:hAnsi="Arial" w:cs="Arial"/>
          <w:sz w:val="24"/>
        </w:rPr>
        <w:t xml:space="preserve">Maintain an </w:t>
      </w:r>
      <w:proofErr w:type="gramStart"/>
      <w:r w:rsidRPr="00D1534C">
        <w:rPr>
          <w:rFonts w:ascii="Arial" w:hAnsi="Arial" w:cs="Arial"/>
          <w:sz w:val="24"/>
        </w:rPr>
        <w:t>up to date</w:t>
      </w:r>
      <w:proofErr w:type="gramEnd"/>
      <w:r w:rsidRPr="00D1534C">
        <w:rPr>
          <w:rFonts w:ascii="Arial" w:hAnsi="Arial" w:cs="Arial"/>
          <w:sz w:val="24"/>
        </w:rPr>
        <w:t xml:space="preserve"> policy for handling personal data which is available to all staff </w:t>
      </w:r>
    </w:p>
    <w:p w14:paraId="08599925" w14:textId="77777777"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Have a process in place to handle any security incidents involving personal data, including notifying relevant third parties of any incidents</w:t>
      </w:r>
    </w:p>
    <w:p w14:paraId="113DF1D1" w14:textId="0E7CE85D" w:rsidR="00F97118" w:rsidRPr="008544E1" w:rsidRDefault="00F97118" w:rsidP="008544E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7B0BBCAD" w14:textId="77777777" w:rsidR="00483784" w:rsidRPr="00D1534C" w:rsidRDefault="00483784" w:rsidP="00F97118">
      <w:pPr>
        <w:autoSpaceDE w:val="0"/>
        <w:autoSpaceDN w:val="0"/>
        <w:adjustRightInd w:val="0"/>
        <w:contextualSpacing/>
        <w:rPr>
          <w:rFonts w:ascii="Arial" w:hAnsi="Arial" w:cs="Arial"/>
          <w:sz w:val="24"/>
        </w:rPr>
      </w:pPr>
    </w:p>
    <w:p w14:paraId="13D28574" w14:textId="48FD8441" w:rsidR="00176414" w:rsidRDefault="00176414" w:rsidP="006D6A89">
      <w:pPr>
        <w:spacing w:after="0"/>
        <w:rPr>
          <w:rFonts w:ascii="Arial" w:hAnsi="Arial" w:cs="Arial"/>
          <w:sz w:val="24"/>
          <w:szCs w:val="24"/>
        </w:rPr>
      </w:pPr>
    </w:p>
    <w:p w14:paraId="40C79B0A" w14:textId="4CAD193E" w:rsidR="006D6A89" w:rsidRPr="003B17AA" w:rsidRDefault="008544E1" w:rsidP="00483784">
      <w:pPr>
        <w:pStyle w:val="Heading1"/>
        <w:rPr>
          <w:rStyle w:val="Hyperlink"/>
          <w:color w:val="auto"/>
          <w:sz w:val="52"/>
          <w:szCs w:val="24"/>
        </w:rPr>
      </w:pPr>
      <w:r>
        <w:rPr>
          <w:rStyle w:val="Hyperlink"/>
          <w:color w:val="auto"/>
          <w:sz w:val="52"/>
          <w:szCs w:val="24"/>
        </w:rPr>
        <w:lastRenderedPageBreak/>
        <w:t>7</w:t>
      </w:r>
      <w:r w:rsidR="00483784" w:rsidRPr="003B17AA">
        <w:rPr>
          <w:rStyle w:val="Hyperlink"/>
          <w:color w:val="auto"/>
          <w:sz w:val="52"/>
          <w:szCs w:val="24"/>
        </w:rPr>
        <w:t>. Format &amp; Frequency</w:t>
      </w:r>
    </w:p>
    <w:p w14:paraId="3169A74A" w14:textId="09ADC02B"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 xml:space="preserve">The format the information will be shared in </w:t>
      </w:r>
      <w:r w:rsidR="003F621B">
        <w:rPr>
          <w:rFonts w:ascii="Arial" w:hAnsi="Arial" w:cs="Arial"/>
          <w:sz w:val="24"/>
        </w:rPr>
        <w:t>a</w:t>
      </w:r>
      <w:r w:rsidR="008544E1">
        <w:rPr>
          <w:rFonts w:ascii="Arial" w:hAnsi="Arial" w:cs="Arial"/>
          <w:sz w:val="24"/>
        </w:rPr>
        <w:t>n</w:t>
      </w:r>
      <w:r w:rsidR="003F621B">
        <w:rPr>
          <w:rFonts w:ascii="Arial" w:hAnsi="Arial" w:cs="Arial"/>
          <w:sz w:val="24"/>
        </w:rPr>
        <w:t xml:space="preserve"> </w:t>
      </w:r>
      <w:r w:rsidR="003F621B" w:rsidRPr="008544E1">
        <w:rPr>
          <w:rFonts w:ascii="Arial" w:hAnsi="Arial" w:cs="Arial"/>
          <w:b/>
          <w:bCs/>
          <w:sz w:val="24"/>
        </w:rPr>
        <w:t>Excel Spreadsheet</w:t>
      </w:r>
    </w:p>
    <w:p w14:paraId="3D438312" w14:textId="6D81051B"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8544E1" w:rsidRPr="008544E1">
        <w:rPr>
          <w:rFonts w:ascii="Arial" w:hAnsi="Arial" w:cs="Arial"/>
          <w:b/>
          <w:bCs/>
          <w:sz w:val="24"/>
        </w:rPr>
        <w:t>annually in</w:t>
      </w:r>
      <w:r w:rsidR="008544E1">
        <w:rPr>
          <w:rFonts w:ascii="Arial" w:hAnsi="Arial" w:cs="Arial"/>
          <w:sz w:val="24"/>
        </w:rPr>
        <w:t xml:space="preserve"> </w:t>
      </w:r>
      <w:r w:rsidR="003F621B" w:rsidRPr="000F7A05">
        <w:rPr>
          <w:rFonts w:ascii="Arial" w:hAnsi="Arial" w:cs="Arial"/>
          <w:b/>
          <w:sz w:val="24"/>
        </w:rPr>
        <w:t>October and January</w:t>
      </w:r>
      <w:r w:rsidR="008544E1">
        <w:rPr>
          <w:rFonts w:ascii="Arial" w:hAnsi="Arial" w:cs="Arial"/>
          <w:b/>
          <w:sz w:val="24"/>
        </w:rPr>
        <w:t>.</w:t>
      </w:r>
    </w:p>
    <w:p w14:paraId="6845F491" w14:textId="60AE1120" w:rsidR="00990D5C" w:rsidRPr="003B17AA" w:rsidRDefault="00990D5C" w:rsidP="00990D5C">
      <w:pPr>
        <w:pStyle w:val="Heading1"/>
        <w:rPr>
          <w:rStyle w:val="Hyperlink"/>
          <w:color w:val="auto"/>
          <w:sz w:val="52"/>
          <w:szCs w:val="24"/>
        </w:rPr>
      </w:pPr>
      <w:r w:rsidRPr="003B17AA">
        <w:rPr>
          <w:rStyle w:val="Hyperlink"/>
          <w:color w:val="auto"/>
          <w:sz w:val="52"/>
          <w:szCs w:val="24"/>
        </w:rPr>
        <w:t>8. Data Retention</w:t>
      </w:r>
    </w:p>
    <w:p w14:paraId="73B77482" w14:textId="3552B5B9" w:rsidR="00907F8F"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 xml:space="preserve">and in any event no longer than is necessary.  </w:t>
      </w:r>
      <w:r>
        <w:rPr>
          <w:rFonts w:ascii="Arial" w:hAnsi="Arial" w:cs="Arial"/>
          <w:sz w:val="24"/>
        </w:rPr>
        <w:t>All data beyond its retention will be destroyed securely.</w:t>
      </w:r>
    </w:p>
    <w:p w14:paraId="41124C7B" w14:textId="7B712042" w:rsidR="004E6A52" w:rsidRPr="003B17AA" w:rsidRDefault="004E6A52" w:rsidP="004E6A52">
      <w:pPr>
        <w:pStyle w:val="Heading1"/>
        <w:rPr>
          <w:rStyle w:val="Hyperlink"/>
          <w:color w:val="auto"/>
          <w:sz w:val="52"/>
          <w:szCs w:val="24"/>
        </w:rPr>
      </w:pPr>
      <w:r w:rsidRPr="003B17AA">
        <w:rPr>
          <w:rStyle w:val="Hyperlink"/>
          <w:color w:val="auto"/>
          <w:sz w:val="52"/>
          <w:szCs w:val="24"/>
        </w:rPr>
        <w:t>9. Data Accuracy</w:t>
      </w:r>
    </w:p>
    <w:p w14:paraId="4051B967" w14:textId="781376AD"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3F621B">
            <w:rPr>
              <w:rFonts w:ascii="MS Gothic" w:eastAsia="MS Gothic" w:hAnsi="MS Gothic" w:cs="Arial" w:hint="eastAsia"/>
              <w:b/>
              <w:sz w:val="28"/>
            </w:rPr>
            <w:t>☒</w:t>
          </w:r>
        </w:sdtContent>
      </w:sdt>
    </w:p>
    <w:p w14:paraId="10D3EC3E" w14:textId="157A8811" w:rsidR="00990D5C" w:rsidRPr="003B17AA" w:rsidRDefault="00E71F96" w:rsidP="00E71F96">
      <w:pPr>
        <w:pStyle w:val="Heading1"/>
        <w:rPr>
          <w:rStyle w:val="Hyperlink"/>
          <w:color w:val="auto"/>
          <w:sz w:val="52"/>
          <w:szCs w:val="24"/>
        </w:rPr>
      </w:pPr>
      <w:r w:rsidRPr="003B17AA">
        <w:rPr>
          <w:rStyle w:val="Hyperlink"/>
          <w:color w:val="auto"/>
          <w:sz w:val="52"/>
          <w:szCs w:val="24"/>
        </w:rPr>
        <w:t>10. Personal Data Breach Notifications</w:t>
      </w:r>
    </w:p>
    <w:p w14:paraId="293EBB3D" w14:textId="77777777"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Where a security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any other affected Partner to this protocol, and notification to the ICO must be made within 72 hours of the breach being detected.  Where agreement to notify cannot be reached within this timeframe, the final decision will rest with the Protocol owner as depicted on page 1 of this document.</w:t>
      </w:r>
    </w:p>
    <w:p w14:paraId="6C1C7588" w14:textId="77777777"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involved Partners should consult on the need to inform the Individual, so that all risks are fully </w:t>
      </w:r>
      <w:proofErr w:type="gramStart"/>
      <w:r w:rsidRPr="00D1534C">
        <w:rPr>
          <w:rFonts w:ascii="Arial" w:hAnsi="Arial" w:cs="Arial"/>
          <w:sz w:val="24"/>
        </w:rPr>
        <w:t>considered</w:t>
      </w:r>
      <w:proofErr w:type="gramEnd"/>
      <w:r w:rsidRPr="00D1534C">
        <w:rPr>
          <w:rFonts w:ascii="Arial" w:hAnsi="Arial" w:cs="Arial"/>
          <w:sz w:val="24"/>
        </w:rPr>
        <w:t xml:space="preserve"> and agreement is reached as to when, how and by whom such contact should be made.  Where agreement to notify cannot be reached, the final decision will rest with the Protocol owner as depicted on page 1 of this document.</w:t>
      </w:r>
    </w:p>
    <w:p w14:paraId="1A748BA5" w14:textId="4F3AF83E"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All Partners to this protocol must ensure that robust policy and procedures are in place to manage security incidents, including the need to consult Partners where the breach directly relates to information shared under this protocol.</w:t>
      </w:r>
    </w:p>
    <w:p w14:paraId="24524B80" w14:textId="0756DBAF" w:rsidR="00CE31E0" w:rsidRPr="003B17AA" w:rsidRDefault="00CE31E0" w:rsidP="00CE31E0">
      <w:pPr>
        <w:pStyle w:val="Heading1"/>
        <w:rPr>
          <w:rStyle w:val="Hyperlink"/>
          <w:color w:val="auto"/>
          <w:sz w:val="52"/>
          <w:szCs w:val="24"/>
        </w:rPr>
      </w:pPr>
      <w:r w:rsidRPr="003B17AA">
        <w:rPr>
          <w:rStyle w:val="Hyperlink"/>
          <w:color w:val="auto"/>
          <w:sz w:val="52"/>
          <w:szCs w:val="24"/>
        </w:rPr>
        <w:lastRenderedPageBreak/>
        <w:t>11.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676EF62C" w:rsidR="00CE31E0" w:rsidRPr="003B17AA" w:rsidRDefault="00D97A07" w:rsidP="00D97A07">
      <w:pPr>
        <w:pStyle w:val="Heading1"/>
        <w:rPr>
          <w:rStyle w:val="Hyperlink"/>
          <w:color w:val="auto"/>
          <w:sz w:val="52"/>
          <w:szCs w:val="24"/>
        </w:rPr>
      </w:pPr>
      <w:r w:rsidRPr="003B17AA">
        <w:rPr>
          <w:rStyle w:val="Hyperlink"/>
          <w:color w:val="auto"/>
          <w:sz w:val="52"/>
          <w:szCs w:val="24"/>
        </w:rPr>
        <w:t>12. Commencement of Protocol</w:t>
      </w:r>
    </w:p>
    <w:p w14:paraId="767ACDCF" w14:textId="77777777" w:rsidR="002D37FB" w:rsidRDefault="00830182" w:rsidP="00CF1298">
      <w:pPr>
        <w:jc w:val="both"/>
        <w:rPr>
          <w:rFonts w:ascii="Arial" w:eastAsia="Times New Roman" w:hAnsi="Arial" w:cs="Arial"/>
          <w:sz w:val="24"/>
        </w:rPr>
      </w:pPr>
      <w:r w:rsidRPr="00D1534C">
        <w:rPr>
          <w:rFonts w:ascii="Arial" w:eastAsia="Times New Roman" w:hAnsi="Arial" w:cs="Arial"/>
          <w:sz w:val="24"/>
        </w:rPr>
        <w:t>This Protocol shall commence upon date of the signing of a copy of the Protocol by the signatory partners.  The relevant information can be shared between signatory partners from the date the Protocol commences.</w:t>
      </w:r>
    </w:p>
    <w:p w14:paraId="2653FEE4" w14:textId="77777777" w:rsidR="002D37FB" w:rsidRDefault="002D37FB" w:rsidP="00CF1298">
      <w:pPr>
        <w:jc w:val="both"/>
        <w:rPr>
          <w:rFonts w:ascii="Arial" w:eastAsia="Times New Roman" w:hAnsi="Arial" w:cs="Arial"/>
          <w:sz w:val="24"/>
        </w:rPr>
      </w:pPr>
    </w:p>
    <w:p w14:paraId="2734D8B0" w14:textId="60368332" w:rsidR="00990D5C" w:rsidRPr="002D37FB" w:rsidRDefault="00830182" w:rsidP="002D37FB">
      <w:pPr>
        <w:pStyle w:val="Heading1"/>
        <w:rPr>
          <w:rStyle w:val="Hyperlink"/>
          <w:color w:val="auto"/>
          <w:sz w:val="52"/>
          <w:szCs w:val="24"/>
        </w:rPr>
      </w:pPr>
      <w:r w:rsidRPr="002D37FB">
        <w:rPr>
          <w:rStyle w:val="Hyperlink"/>
          <w:color w:val="auto"/>
          <w:sz w:val="52"/>
          <w:szCs w:val="24"/>
        </w:rPr>
        <w:t>13. Withdrawal from the Protocol</w:t>
      </w:r>
    </w:p>
    <w:p w14:paraId="42644FC5" w14:textId="136A4095"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Protocol upon giving 4 weeks written notice to the </w:t>
      </w:r>
      <w:r w:rsidR="004A50E3">
        <w:rPr>
          <w:rFonts w:ascii="Arial" w:eastAsia="Times New Roman" w:hAnsi="Arial" w:cs="Arial"/>
          <w:sz w:val="24"/>
        </w:rPr>
        <w:t xml:space="preserve">Lead Partner at </w:t>
      </w:r>
      <w:hyperlink r:id="rId17" w:history="1">
        <w:r w:rsidR="004A50E3" w:rsidRPr="004A50E3">
          <w:rPr>
            <w:rStyle w:val="Hyperlink"/>
            <w:rFonts w:ascii="Arial" w:hAnsi="Arial" w:cs="Arial"/>
            <w:sz w:val="24"/>
            <w:szCs w:val="24"/>
          </w:rPr>
          <w:t>Provide.infogov@nhs.net</w:t>
        </w:r>
      </w:hyperlink>
      <w:r w:rsidR="004A50E3" w:rsidRPr="004A50E3">
        <w:rPr>
          <w:rStyle w:val="Hyperlink"/>
          <w:rFonts w:ascii="Arial" w:hAnsi="Arial" w:cs="Arial"/>
          <w:sz w:val="24"/>
          <w:szCs w:val="24"/>
        </w:rPr>
        <w:t>.</w:t>
      </w:r>
      <w:r w:rsidR="004A50E3" w:rsidRPr="004A50E3">
        <w:rPr>
          <w:rStyle w:val="Hyperlink"/>
          <w:sz w:val="24"/>
          <w:szCs w:val="24"/>
        </w:rPr>
        <w:t xml:space="preserve"> </w:t>
      </w:r>
      <w:r w:rsidRPr="004A50E3">
        <w:rPr>
          <w:rFonts w:ascii="Arial" w:eastAsia="Times New Roman" w:hAnsi="Arial" w:cs="Arial"/>
          <w:sz w:val="28"/>
          <w:szCs w:val="24"/>
        </w:rPr>
        <w:t xml:space="preserve"> </w:t>
      </w:r>
      <w:r w:rsidRPr="00D1534C">
        <w:rPr>
          <w:rFonts w:ascii="Arial" w:eastAsia="Times New Roman" w:hAnsi="Arial" w:cs="Arial"/>
          <w:sz w:val="24"/>
        </w:rPr>
        <w:t xml:space="preserve">The </w:t>
      </w:r>
      <w:r w:rsidR="004A50E3">
        <w:rPr>
          <w:rFonts w:ascii="Arial" w:eastAsia="Times New Roman" w:hAnsi="Arial" w:cs="Arial"/>
          <w:sz w:val="24"/>
        </w:rPr>
        <w:t>Lead Partner</w:t>
      </w:r>
      <w:r w:rsidRPr="00D1534C">
        <w:rPr>
          <w:rFonts w:ascii="Arial" w:eastAsia="Times New Roman" w:hAnsi="Arial" w:cs="Arial"/>
          <w:sz w:val="24"/>
        </w:rPr>
        <w:t xml:space="preserve"> will notify other Partners to the Protocol.  The 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6F75AF48" w:rsidR="00830182" w:rsidRPr="003B17AA" w:rsidRDefault="00776851" w:rsidP="00776851">
      <w:pPr>
        <w:pStyle w:val="Heading1"/>
        <w:rPr>
          <w:rStyle w:val="Hyperlink"/>
          <w:color w:val="auto"/>
          <w:sz w:val="52"/>
          <w:szCs w:val="24"/>
        </w:rPr>
      </w:pPr>
      <w:r w:rsidRPr="003B17AA">
        <w:rPr>
          <w:rStyle w:val="Hyperlink"/>
          <w:color w:val="auto"/>
          <w:sz w:val="52"/>
          <w:szCs w:val="24"/>
        </w:rPr>
        <w:t>14. Agreement</w:t>
      </w:r>
    </w:p>
    <w:p w14:paraId="6D916F6A" w14:textId="01BFCA19"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DA7C52">
        <w:rPr>
          <w:rFonts w:ascii="Arial" w:eastAsia="Times New Roman" w:hAnsi="Arial" w:cs="Arial"/>
          <w:sz w:val="24"/>
        </w:rPr>
        <w:t>has been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(SIRO/Caldicott Guardian/Chief Information Officer).</w:t>
      </w:r>
    </w:p>
    <w:p w14:paraId="6EE46ACE" w14:textId="77777777" w:rsidR="00776851" w:rsidRPr="00776851" w:rsidRDefault="00776851" w:rsidP="00776851"/>
    <w:sectPr w:rsidR="00776851" w:rsidRPr="00776851" w:rsidSect="00C02347">
      <w:headerReference w:type="even" r:id="rId18"/>
      <w:headerReference w:type="default" r:id="rId19"/>
      <w:footerReference w:type="even" r:id="rId20"/>
      <w:footerReference w:type="default" r:id="rId21"/>
      <w:headerReference w:type="first" r:id="rId22"/>
      <w:footerReference w:type="first" r:id="rId23"/>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4AAE" w14:textId="77777777" w:rsidR="00A24869" w:rsidRDefault="00A24869" w:rsidP="00CF0AF3">
      <w:pPr>
        <w:spacing w:after="0" w:line="240" w:lineRule="auto"/>
      </w:pPr>
      <w:r>
        <w:separator/>
      </w:r>
    </w:p>
  </w:endnote>
  <w:endnote w:type="continuationSeparator" w:id="0">
    <w:p w14:paraId="22410D50" w14:textId="77777777" w:rsidR="00A24869" w:rsidRDefault="00A24869" w:rsidP="00CF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D665" w14:textId="77777777" w:rsidR="00FE26BB" w:rsidRDefault="00FE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7777777" w:rsidR="00FE26BB" w:rsidRDefault="00FE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C4F" w14:textId="77777777" w:rsidR="00FE26BB" w:rsidRDefault="00FE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5AA7" w14:textId="77777777" w:rsidR="00A24869" w:rsidRDefault="00A24869" w:rsidP="00CF0AF3">
      <w:pPr>
        <w:spacing w:after="0" w:line="240" w:lineRule="auto"/>
      </w:pPr>
      <w:r>
        <w:separator/>
      </w:r>
    </w:p>
  </w:footnote>
  <w:footnote w:type="continuationSeparator" w:id="0">
    <w:p w14:paraId="2C0A6986" w14:textId="77777777" w:rsidR="00A24869" w:rsidRDefault="00A24869" w:rsidP="00CF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09BE" w14:textId="77777777" w:rsidR="00FE26BB" w:rsidRDefault="00FE2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6BA" w14:textId="77777777" w:rsidR="00FE26BB" w:rsidRDefault="00FE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53B"/>
    <w:multiLevelType w:val="hybridMultilevel"/>
    <w:tmpl w:val="168EB6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7043"/>
    <w:multiLevelType w:val="hybridMultilevel"/>
    <w:tmpl w:val="51B4BE04"/>
    <w:lvl w:ilvl="0" w:tplc="E828F9EA">
      <w:start w:val="1"/>
      <w:numFmt w:val="lowerLetter"/>
      <w:lvlText w:val="%1)"/>
      <w:lvlJc w:val="left"/>
      <w:pPr>
        <w:ind w:left="720" w:hanging="360"/>
      </w:pPr>
      <w:rPr>
        <w:rFonts w:ascii="Calibri" w:eastAsia="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6"/>
  </w:num>
  <w:num w:numId="6">
    <w:abstractNumId w:val="9"/>
  </w:num>
  <w:num w:numId="7">
    <w:abstractNumId w:val="10"/>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22"/>
    <w:rsid w:val="00003BDD"/>
    <w:rsid w:val="00031837"/>
    <w:rsid w:val="00061E49"/>
    <w:rsid w:val="0006569A"/>
    <w:rsid w:val="0006727B"/>
    <w:rsid w:val="00072021"/>
    <w:rsid w:val="00084F55"/>
    <w:rsid w:val="000A0E60"/>
    <w:rsid w:val="000C34CC"/>
    <w:rsid w:val="000C6E40"/>
    <w:rsid w:val="000D5F88"/>
    <w:rsid w:val="000E7972"/>
    <w:rsid w:val="000F3741"/>
    <w:rsid w:val="000F7A05"/>
    <w:rsid w:val="000F7C7A"/>
    <w:rsid w:val="001045DA"/>
    <w:rsid w:val="00116404"/>
    <w:rsid w:val="001474BC"/>
    <w:rsid w:val="00161B15"/>
    <w:rsid w:val="00172B4D"/>
    <w:rsid w:val="00176414"/>
    <w:rsid w:val="001774A4"/>
    <w:rsid w:val="00177DF7"/>
    <w:rsid w:val="001868AA"/>
    <w:rsid w:val="001937F1"/>
    <w:rsid w:val="00194274"/>
    <w:rsid w:val="00196C58"/>
    <w:rsid w:val="001C2564"/>
    <w:rsid w:val="001D1390"/>
    <w:rsid w:val="00201CA0"/>
    <w:rsid w:val="002303F8"/>
    <w:rsid w:val="00251E79"/>
    <w:rsid w:val="0025211F"/>
    <w:rsid w:val="00281C96"/>
    <w:rsid w:val="0029464B"/>
    <w:rsid w:val="00297DF8"/>
    <w:rsid w:val="002A414C"/>
    <w:rsid w:val="002A6A08"/>
    <w:rsid w:val="002B11E5"/>
    <w:rsid w:val="002B5648"/>
    <w:rsid w:val="002B6F7D"/>
    <w:rsid w:val="002B703D"/>
    <w:rsid w:val="002C3E4D"/>
    <w:rsid w:val="002D26F1"/>
    <w:rsid w:val="002D37FB"/>
    <w:rsid w:val="002D65DE"/>
    <w:rsid w:val="002F5E81"/>
    <w:rsid w:val="00301404"/>
    <w:rsid w:val="00303E08"/>
    <w:rsid w:val="00320C26"/>
    <w:rsid w:val="00333A42"/>
    <w:rsid w:val="003548CA"/>
    <w:rsid w:val="003760B7"/>
    <w:rsid w:val="00384228"/>
    <w:rsid w:val="003870A6"/>
    <w:rsid w:val="00395E1C"/>
    <w:rsid w:val="003A0A0E"/>
    <w:rsid w:val="003B17AA"/>
    <w:rsid w:val="003B1A0A"/>
    <w:rsid w:val="003C2856"/>
    <w:rsid w:val="003C58E4"/>
    <w:rsid w:val="003D133A"/>
    <w:rsid w:val="003D1C7F"/>
    <w:rsid w:val="003D2D74"/>
    <w:rsid w:val="003F621B"/>
    <w:rsid w:val="004065A9"/>
    <w:rsid w:val="004209F2"/>
    <w:rsid w:val="00420C22"/>
    <w:rsid w:val="00423F41"/>
    <w:rsid w:val="0042761F"/>
    <w:rsid w:val="0044205F"/>
    <w:rsid w:val="004429AC"/>
    <w:rsid w:val="004528E9"/>
    <w:rsid w:val="00474962"/>
    <w:rsid w:val="00475430"/>
    <w:rsid w:val="00483784"/>
    <w:rsid w:val="00490195"/>
    <w:rsid w:val="004A50E3"/>
    <w:rsid w:val="004C16B2"/>
    <w:rsid w:val="004D4F1B"/>
    <w:rsid w:val="004E4C17"/>
    <w:rsid w:val="004E6A52"/>
    <w:rsid w:val="004F66DD"/>
    <w:rsid w:val="00511073"/>
    <w:rsid w:val="0051410F"/>
    <w:rsid w:val="005268D0"/>
    <w:rsid w:val="0054279D"/>
    <w:rsid w:val="00543789"/>
    <w:rsid w:val="00547141"/>
    <w:rsid w:val="00557AE1"/>
    <w:rsid w:val="005877C2"/>
    <w:rsid w:val="00591085"/>
    <w:rsid w:val="0059561C"/>
    <w:rsid w:val="005B6618"/>
    <w:rsid w:val="005C04EB"/>
    <w:rsid w:val="005D0799"/>
    <w:rsid w:val="005F200F"/>
    <w:rsid w:val="006010FD"/>
    <w:rsid w:val="006120B7"/>
    <w:rsid w:val="00620907"/>
    <w:rsid w:val="00630E25"/>
    <w:rsid w:val="00634957"/>
    <w:rsid w:val="006434D9"/>
    <w:rsid w:val="006468B1"/>
    <w:rsid w:val="006619ED"/>
    <w:rsid w:val="00664755"/>
    <w:rsid w:val="0067347C"/>
    <w:rsid w:val="006752D1"/>
    <w:rsid w:val="006A44AE"/>
    <w:rsid w:val="006C7450"/>
    <w:rsid w:val="006D13F0"/>
    <w:rsid w:val="006D6A89"/>
    <w:rsid w:val="006E6569"/>
    <w:rsid w:val="006F61C8"/>
    <w:rsid w:val="00701D57"/>
    <w:rsid w:val="0071108A"/>
    <w:rsid w:val="0072514C"/>
    <w:rsid w:val="00756D68"/>
    <w:rsid w:val="00772304"/>
    <w:rsid w:val="00776851"/>
    <w:rsid w:val="00781BF5"/>
    <w:rsid w:val="00784845"/>
    <w:rsid w:val="00787E95"/>
    <w:rsid w:val="007C6992"/>
    <w:rsid w:val="007E1F07"/>
    <w:rsid w:val="007E2F6C"/>
    <w:rsid w:val="00804C46"/>
    <w:rsid w:val="008139CA"/>
    <w:rsid w:val="0081737E"/>
    <w:rsid w:val="00826A40"/>
    <w:rsid w:val="00830182"/>
    <w:rsid w:val="008310F4"/>
    <w:rsid w:val="008335C6"/>
    <w:rsid w:val="008544E1"/>
    <w:rsid w:val="008749E3"/>
    <w:rsid w:val="00880AA4"/>
    <w:rsid w:val="008A0B38"/>
    <w:rsid w:val="008A6D2F"/>
    <w:rsid w:val="008B1282"/>
    <w:rsid w:val="008C5AFD"/>
    <w:rsid w:val="008D7640"/>
    <w:rsid w:val="008E41B9"/>
    <w:rsid w:val="008F0062"/>
    <w:rsid w:val="00907F8F"/>
    <w:rsid w:val="00915122"/>
    <w:rsid w:val="00941760"/>
    <w:rsid w:val="0096618D"/>
    <w:rsid w:val="00966A50"/>
    <w:rsid w:val="00984305"/>
    <w:rsid w:val="00990D5C"/>
    <w:rsid w:val="00994006"/>
    <w:rsid w:val="009A302F"/>
    <w:rsid w:val="009D6B8D"/>
    <w:rsid w:val="009E486A"/>
    <w:rsid w:val="009F549B"/>
    <w:rsid w:val="00A24869"/>
    <w:rsid w:val="00A34A42"/>
    <w:rsid w:val="00A4020F"/>
    <w:rsid w:val="00A41285"/>
    <w:rsid w:val="00A44981"/>
    <w:rsid w:val="00A5214A"/>
    <w:rsid w:val="00A83D1A"/>
    <w:rsid w:val="00AE4E78"/>
    <w:rsid w:val="00AF4499"/>
    <w:rsid w:val="00B057FE"/>
    <w:rsid w:val="00B47C60"/>
    <w:rsid w:val="00B530EC"/>
    <w:rsid w:val="00B566DF"/>
    <w:rsid w:val="00B6120E"/>
    <w:rsid w:val="00B96532"/>
    <w:rsid w:val="00BB0D2F"/>
    <w:rsid w:val="00BB5E1B"/>
    <w:rsid w:val="00BD2008"/>
    <w:rsid w:val="00BE6A63"/>
    <w:rsid w:val="00BE723F"/>
    <w:rsid w:val="00BF3B8F"/>
    <w:rsid w:val="00C01A96"/>
    <w:rsid w:val="00C02347"/>
    <w:rsid w:val="00C05EFC"/>
    <w:rsid w:val="00C1150D"/>
    <w:rsid w:val="00C40747"/>
    <w:rsid w:val="00C46A58"/>
    <w:rsid w:val="00C60661"/>
    <w:rsid w:val="00C71BA8"/>
    <w:rsid w:val="00C81869"/>
    <w:rsid w:val="00C8480F"/>
    <w:rsid w:val="00C97FEA"/>
    <w:rsid w:val="00CA5618"/>
    <w:rsid w:val="00CB71F5"/>
    <w:rsid w:val="00CC1EFE"/>
    <w:rsid w:val="00CD4F03"/>
    <w:rsid w:val="00CE31E0"/>
    <w:rsid w:val="00CF0AF3"/>
    <w:rsid w:val="00CF1298"/>
    <w:rsid w:val="00D03C48"/>
    <w:rsid w:val="00D1534C"/>
    <w:rsid w:val="00D97A07"/>
    <w:rsid w:val="00DA7C52"/>
    <w:rsid w:val="00DC7101"/>
    <w:rsid w:val="00DD037D"/>
    <w:rsid w:val="00DE6587"/>
    <w:rsid w:val="00DF1BA3"/>
    <w:rsid w:val="00DF36A6"/>
    <w:rsid w:val="00DF50E5"/>
    <w:rsid w:val="00E132AB"/>
    <w:rsid w:val="00E57D61"/>
    <w:rsid w:val="00E71F96"/>
    <w:rsid w:val="00E927EE"/>
    <w:rsid w:val="00E96379"/>
    <w:rsid w:val="00EC0753"/>
    <w:rsid w:val="00ED15B6"/>
    <w:rsid w:val="00EE330F"/>
    <w:rsid w:val="00EF3A59"/>
    <w:rsid w:val="00F0762A"/>
    <w:rsid w:val="00F1167B"/>
    <w:rsid w:val="00F33592"/>
    <w:rsid w:val="00F54344"/>
    <w:rsid w:val="00F54FF1"/>
    <w:rsid w:val="00F562EA"/>
    <w:rsid w:val="00F71688"/>
    <w:rsid w:val="00F97118"/>
    <w:rsid w:val="00FA6907"/>
    <w:rsid w:val="00FA7085"/>
    <w:rsid w:val="00FD3DDC"/>
    <w:rsid w:val="00FE26BB"/>
    <w:rsid w:val="112B0248"/>
    <w:rsid w:val="14818A45"/>
    <w:rsid w:val="1D5B2A50"/>
    <w:rsid w:val="1FE476B2"/>
    <w:rsid w:val="207BD481"/>
    <w:rsid w:val="2353AA36"/>
    <w:rsid w:val="244F1A08"/>
    <w:rsid w:val="26F6F94A"/>
    <w:rsid w:val="37C4C554"/>
    <w:rsid w:val="46C68DEA"/>
    <w:rsid w:val="517037B7"/>
    <w:rsid w:val="550B6648"/>
    <w:rsid w:val="5560B120"/>
    <w:rsid w:val="5846B74C"/>
    <w:rsid w:val="5F1FF692"/>
    <w:rsid w:val="6F98AF4B"/>
    <w:rsid w:val="77EC8050"/>
    <w:rsid w:val="789139F2"/>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A3"/>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42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56D68"/>
    <w:rPr>
      <w:color w:val="605E5C"/>
      <w:shd w:val="clear" w:color="auto" w:fill="E1DFDD"/>
    </w:rPr>
  </w:style>
  <w:style w:type="paragraph" w:customStyle="1" w:styleId="Default">
    <w:name w:val="Default"/>
    <w:rsid w:val="008D76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194274"/>
    <w:rPr>
      <w:color w:val="605E5C"/>
      <w:shd w:val="clear" w:color="auto" w:fill="E1DFDD"/>
    </w:rPr>
  </w:style>
  <w:style w:type="paragraph" w:styleId="NormalWeb">
    <w:name w:val="Normal (Web)"/>
    <w:basedOn w:val="Normal"/>
    <w:uiPriority w:val="99"/>
    <w:semiHidden/>
    <w:unhideWhenUsed/>
    <w:rsid w:val="0019427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clearfix">
    <w:name w:val="legclearfix"/>
    <w:basedOn w:val="Normal"/>
    <w:rsid w:val="002A6A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2A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380834560">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696998342">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ovide.infogov@nhs.net" TargetMode="External"/><Relationship Id="rId17" Type="http://schemas.openxmlformats.org/officeDocument/2006/relationships/hyperlink" Target="mailto:Provide.infogov@nhs.ne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EN/TXT/HTML/?uri=CELEX:32016R0679&amp;from=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national-child-measurement-programme"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3C4A38E28F4E41BABD87ED18DEB311"/>
        <w:category>
          <w:name w:val="General"/>
          <w:gallery w:val="placeholder"/>
        </w:category>
        <w:types>
          <w:type w:val="bbPlcHdr"/>
        </w:types>
        <w:behaviors>
          <w:behavior w:val="content"/>
        </w:behaviors>
        <w:guid w:val="{22059CB7-2E1C-4B94-A1D3-EFF102A52064}"/>
      </w:docPartPr>
      <w:docPartBody>
        <w:p w:rsidR="00511740" w:rsidRDefault="001E350F" w:rsidP="001E350F">
          <w:pPr>
            <w:pStyle w:val="FD3C4A38E28F4E41BABD87ED18DEB311"/>
          </w:pPr>
          <w:r w:rsidRPr="00D1534C">
            <w:rPr>
              <w:rStyle w:val="PlaceholderText"/>
              <w:sz w:val="24"/>
            </w:rPr>
            <w:t>Choose an item.</w:t>
          </w:r>
        </w:p>
      </w:docPartBody>
    </w:docPart>
    <w:docPart>
      <w:docPartPr>
        <w:name w:val="417F828D5B9A4FDF9496F36B80B97968"/>
        <w:category>
          <w:name w:val="General"/>
          <w:gallery w:val="placeholder"/>
        </w:category>
        <w:types>
          <w:type w:val="bbPlcHdr"/>
        </w:types>
        <w:behaviors>
          <w:behavior w:val="content"/>
        </w:behaviors>
        <w:guid w:val="{91E9C1A8-FD67-4892-9E50-85B8F6792B8D}"/>
      </w:docPartPr>
      <w:docPartBody>
        <w:p w:rsidR="00511740" w:rsidRDefault="001E350F" w:rsidP="001E350F">
          <w:pPr>
            <w:pStyle w:val="417F828D5B9A4FDF9496F36B80B97968"/>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829A3"/>
    <w:rsid w:val="000A64C0"/>
    <w:rsid w:val="001E350F"/>
    <w:rsid w:val="00257415"/>
    <w:rsid w:val="003A0A0E"/>
    <w:rsid w:val="00471CCB"/>
    <w:rsid w:val="004F135D"/>
    <w:rsid w:val="00511740"/>
    <w:rsid w:val="005319A5"/>
    <w:rsid w:val="0064350A"/>
    <w:rsid w:val="00701167"/>
    <w:rsid w:val="00772D9E"/>
    <w:rsid w:val="009A3AE0"/>
    <w:rsid w:val="00A83CC2"/>
    <w:rsid w:val="00AC2272"/>
    <w:rsid w:val="00B21C93"/>
    <w:rsid w:val="00B721BC"/>
    <w:rsid w:val="00C81869"/>
    <w:rsid w:val="00CB3959"/>
    <w:rsid w:val="00CC6304"/>
    <w:rsid w:val="00CD4491"/>
    <w:rsid w:val="00CF0B9E"/>
    <w:rsid w:val="00D8171E"/>
    <w:rsid w:val="00DF5CB8"/>
    <w:rsid w:val="00EC079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0F"/>
    <w:rPr>
      <w:color w:val="808080"/>
    </w:rPr>
  </w:style>
  <w:style w:type="paragraph" w:customStyle="1" w:styleId="FD3C4A38E28F4E41BABD87ED18DEB311">
    <w:name w:val="FD3C4A38E28F4E41BABD87ED18DEB311"/>
    <w:rsid w:val="001E350F"/>
    <w:pPr>
      <w:spacing w:after="160" w:line="259" w:lineRule="auto"/>
    </w:pPr>
  </w:style>
  <w:style w:type="paragraph" w:customStyle="1" w:styleId="417F828D5B9A4FDF9496F36B80B97968">
    <w:name w:val="417F828D5B9A4FDF9496F36B80B97968"/>
    <w:rsid w:val="001E35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6" ma:contentTypeDescription="Create a new document." ma:contentTypeScope="" ma:versionID="0cfe369f8ff4ea7dfde2ec71b5d2b4e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88a015af0b41aae62d50d216bdc7c78b"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3.xml><?xml version="1.0" encoding="utf-8"?>
<ds:datastoreItem xmlns:ds="http://schemas.openxmlformats.org/officeDocument/2006/customXml" ds:itemID="{00D76154-3A68-44A2-AE5B-FB661E06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D96BF-88FE-40AB-AAC7-87C00D4F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Antony Pemberton - Information Governance Officer</cp:lastModifiedBy>
  <cp:revision>2</cp:revision>
  <dcterms:created xsi:type="dcterms:W3CDTF">2022-10-10T13:05:00Z</dcterms:created>
  <dcterms:modified xsi:type="dcterms:W3CDTF">2022-10-10T13:05:00Z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