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660C" w14:textId="77777777" w:rsidR="00420C22" w:rsidRPr="00AF4499" w:rsidRDefault="00CF0AF3" w:rsidP="00CF0AF3">
      <w:pPr>
        <w:spacing w:line="240" w:lineRule="auto"/>
        <w:rPr>
          <w:rFonts w:ascii="Arial" w:hAnsi="Arial" w:cs="Arial"/>
          <w:b/>
          <w:bCs/>
          <w:color w:val="1F497D" w:themeColor="text2"/>
          <w:sz w:val="40"/>
          <w:szCs w:val="40"/>
        </w:rPr>
      </w:pPr>
      <w:permStart w:id="2093774451" w:edGrp="everyone"/>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F98E01B" wp14:editId="16DA291A">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permEnd w:id="2093774451"/>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79A5AE47" w14:textId="77777777" w:rsidR="00420C22" w:rsidRDefault="00420C22" w:rsidP="00CF0AF3">
      <w:pPr>
        <w:pStyle w:val="Heading1"/>
        <w:rPr>
          <w:rFonts w:cs="Arial"/>
          <w:sz w:val="32"/>
        </w:rPr>
      </w:pPr>
      <w:bookmarkStart w:id="0" w:name="_Toc331664841"/>
      <w:r w:rsidRPr="00955DB1">
        <w:rPr>
          <w:rFonts w:cs="Arial"/>
          <w:sz w:val="32"/>
        </w:rPr>
        <w:t>SUMMARY SHEET</w:t>
      </w:r>
      <w:bookmarkEnd w:id="0"/>
    </w:p>
    <w:p w14:paraId="641BC46A" w14:textId="77777777" w:rsidR="004D4F1B" w:rsidRDefault="004D4F1B" w:rsidP="004D4F1B"/>
    <w:p w14:paraId="184B02A2" w14:textId="24E66D6D"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7C3BF9">
        <w:rPr>
          <w:rFonts w:ascii="Arial" w:hAnsi="Arial" w:cs="Arial"/>
          <w:b/>
          <w:bCs/>
          <w:sz w:val="32"/>
          <w:szCs w:val="32"/>
        </w:rPr>
        <w:t xml:space="preserve"> </w:t>
      </w:r>
      <w:r w:rsidR="007C3BF9" w:rsidRPr="007C3BF9">
        <w:rPr>
          <w:rFonts w:ascii="Arial" w:hAnsi="Arial" w:cs="Arial"/>
          <w:b/>
          <w:bCs/>
          <w:sz w:val="32"/>
          <w:szCs w:val="32"/>
        </w:rPr>
        <w:t>Inequalities in Waiting Lists</w:t>
      </w:r>
      <w:r w:rsidR="007C3BF9">
        <w:rPr>
          <w:rFonts w:ascii="Arial" w:hAnsi="Arial" w:cs="Arial"/>
          <w:b/>
          <w:bCs/>
          <w:sz w:val="32"/>
          <w:szCs w:val="32"/>
        </w:rPr>
        <w:t xml:space="preserve"> ISP</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70B7ECAF"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10B0B874"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66A0E51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4580E6D0"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7D239C64"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5A339892"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870F6C7"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74850C0F"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AFFDED9" w14:textId="77777777" w:rsidR="00420C22" w:rsidRPr="00766582" w:rsidRDefault="00CB7B23" w:rsidP="00303E08">
            <w:pPr>
              <w:rPr>
                <w:rFonts w:ascii="Arial" w:hAnsi="Arial" w:cs="Arial"/>
                <w:snapToGrid w:val="0"/>
                <w:color w:val="000000"/>
              </w:rPr>
            </w:pPr>
            <w:r>
              <w:rPr>
                <w:rFonts w:ascii="Arial" w:hAnsi="Arial" w:cs="Arial"/>
                <w:snapToGrid w:val="0"/>
                <w:color w:val="000000"/>
              </w:rPr>
              <w:t>Essex County Council</w:t>
            </w:r>
          </w:p>
        </w:tc>
        <w:tc>
          <w:tcPr>
            <w:tcW w:w="692" w:type="pct"/>
          </w:tcPr>
          <w:p w14:paraId="25150C9E" w14:textId="77777777"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481" w:type="pct"/>
          </w:tcPr>
          <w:p w14:paraId="3391BE73" w14:textId="77777777"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33" w:type="pct"/>
          </w:tcPr>
          <w:p w14:paraId="79440C54" w14:textId="77777777" w:rsidR="00420C22" w:rsidRPr="009F0B18" w:rsidRDefault="00F35A09"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6906CB">
                <w:rPr>
                  <w:rStyle w:val="Hyperlink"/>
                  <w:rFonts w:ascii="Arial" w:hAnsi="Arial" w:cs="Arial"/>
                  <w:snapToGrid w:val="0"/>
                </w:rPr>
                <w:t>dpo@essex.gov.uk</w:t>
              </w:r>
            </w:hyperlink>
            <w:r w:rsidR="00E6047F">
              <w:rPr>
                <w:rFonts w:ascii="Arial" w:hAnsi="Arial" w:cs="Arial"/>
                <w:snapToGrid w:val="0"/>
                <w:color w:val="000000"/>
              </w:rPr>
              <w:t xml:space="preserve"> </w:t>
            </w:r>
          </w:p>
        </w:tc>
        <w:tc>
          <w:tcPr>
            <w:tcW w:w="559" w:type="pct"/>
          </w:tcPr>
          <w:p w14:paraId="4299E874" w14:textId="77777777"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25778063" w14:textId="77777777" w:rsidR="00420C22" w:rsidRPr="00766582" w:rsidRDefault="00CB7B23" w:rsidP="00303E08">
            <w:pPr>
              <w:rPr>
                <w:rFonts w:ascii="Arial" w:hAnsi="Arial" w:cs="Arial"/>
                <w:snapToGrid w:val="0"/>
                <w:color w:val="000000"/>
              </w:rPr>
            </w:pPr>
            <w:r>
              <w:rPr>
                <w:rFonts w:ascii="Arial" w:hAnsi="Arial" w:cs="Arial"/>
                <w:snapToGrid w:val="0"/>
                <w:color w:val="000000"/>
              </w:rPr>
              <w:t>Z6034810</w:t>
            </w:r>
          </w:p>
        </w:tc>
      </w:tr>
      <w:tr w:rsidR="00BF4E5A" w:rsidRPr="00766582" w14:paraId="56AFF42D"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2CA133" w14:textId="77777777" w:rsidR="00BF4E5A" w:rsidRPr="00766582" w:rsidRDefault="00BF4E5A" w:rsidP="00BF4E5A">
            <w:pPr>
              <w:rPr>
                <w:rFonts w:ascii="Arial" w:hAnsi="Arial" w:cs="Arial"/>
                <w:snapToGrid w:val="0"/>
                <w:color w:val="000000"/>
              </w:rPr>
            </w:pPr>
            <w:r>
              <w:rPr>
                <w:rFonts w:ascii="Arial" w:hAnsi="Arial" w:cs="Arial"/>
                <w:snapToGrid w:val="0"/>
                <w:color w:val="000000"/>
              </w:rPr>
              <w:t xml:space="preserve">Mid and South Essex </w:t>
            </w:r>
            <w:r w:rsidRPr="009B7D61">
              <w:rPr>
                <w:rFonts w:ascii="Arial" w:hAnsi="Arial" w:cs="Arial"/>
                <w:snapToGrid w:val="0"/>
                <w:color w:val="000000"/>
              </w:rPr>
              <w:t>Foundation Trust</w:t>
            </w:r>
          </w:p>
        </w:tc>
        <w:tc>
          <w:tcPr>
            <w:tcW w:w="692" w:type="pct"/>
          </w:tcPr>
          <w:p w14:paraId="5E30DDD8" w14:textId="77777777" w:rsidR="00BF4E5A" w:rsidRPr="00893153" w:rsidRDefault="00BF4E5A" w:rsidP="00BF4E5A">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893153">
              <w:rPr>
                <w:rFonts w:ascii="Arial" w:hAnsi="Arial" w:cs="Arial"/>
                <w:b w:val="0"/>
                <w:bCs w:val="0"/>
                <w:snapToGrid w:val="0"/>
                <w:color w:val="000000"/>
              </w:rPr>
              <w:t xml:space="preserve">Basildon &amp;Thurrock University Hospital </w:t>
            </w:r>
          </w:p>
          <w:p w14:paraId="13BB89C7" w14:textId="77777777" w:rsidR="00BF4E5A" w:rsidRPr="00893153" w:rsidRDefault="00BF4E5A" w:rsidP="00BF4E5A">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proofErr w:type="spellStart"/>
            <w:r w:rsidRPr="00893153">
              <w:rPr>
                <w:rFonts w:ascii="Arial" w:hAnsi="Arial" w:cs="Arial"/>
                <w:b w:val="0"/>
                <w:bCs w:val="0"/>
                <w:snapToGrid w:val="0"/>
                <w:color w:val="000000"/>
              </w:rPr>
              <w:t>Nethermayne</w:t>
            </w:r>
            <w:proofErr w:type="spellEnd"/>
            <w:r w:rsidRPr="00893153">
              <w:rPr>
                <w:rFonts w:ascii="Arial" w:hAnsi="Arial" w:cs="Arial"/>
                <w:b w:val="0"/>
                <w:bCs w:val="0"/>
                <w:snapToGrid w:val="0"/>
                <w:color w:val="000000"/>
              </w:rPr>
              <w:t xml:space="preserve">, Basildon </w:t>
            </w:r>
          </w:p>
          <w:p w14:paraId="1CA156C2" w14:textId="77777777" w:rsidR="00BF4E5A" w:rsidRPr="00893153" w:rsidRDefault="00BF4E5A" w:rsidP="00BF4E5A">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893153">
              <w:rPr>
                <w:rFonts w:ascii="Arial" w:hAnsi="Arial" w:cs="Arial"/>
                <w:b w:val="0"/>
                <w:bCs w:val="0"/>
                <w:snapToGrid w:val="0"/>
                <w:color w:val="000000"/>
              </w:rPr>
              <w:t>SS16 5NL</w:t>
            </w:r>
          </w:p>
        </w:tc>
        <w:tc>
          <w:tcPr>
            <w:tcW w:w="481" w:type="pct"/>
          </w:tcPr>
          <w:p w14:paraId="748A248B" w14:textId="77777777" w:rsidR="00BF4E5A" w:rsidRPr="00893153" w:rsidRDefault="00BF4E5A" w:rsidP="00BF4E5A">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893153">
              <w:rPr>
                <w:rFonts w:ascii="Arial" w:hAnsi="Arial" w:cs="Arial"/>
                <w:b w:val="0"/>
                <w:bCs w:val="0"/>
                <w:snapToGrid w:val="0"/>
                <w:color w:val="000000"/>
              </w:rPr>
              <w:t>01268 524900</w:t>
            </w:r>
          </w:p>
        </w:tc>
        <w:tc>
          <w:tcPr>
            <w:tcW w:w="1733" w:type="pct"/>
          </w:tcPr>
          <w:p w14:paraId="72A8E10E" w14:textId="77777777" w:rsidR="00BF4E5A" w:rsidRPr="00893153" w:rsidRDefault="00BF4E5A" w:rsidP="00BF4E5A">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893153">
              <w:rPr>
                <w:rFonts w:ascii="Arial" w:hAnsi="Arial" w:cs="Arial"/>
                <w:b w:val="0"/>
                <w:bCs w:val="0"/>
                <w:snapToGrid w:val="0"/>
                <w:color w:val="000000"/>
              </w:rPr>
              <w:t xml:space="preserve">Matthew.Barker@btuh.nhs.uk </w:t>
            </w:r>
          </w:p>
        </w:tc>
        <w:tc>
          <w:tcPr>
            <w:tcW w:w="559" w:type="pct"/>
          </w:tcPr>
          <w:p w14:paraId="53CEB9F7" w14:textId="77777777" w:rsidR="00BF4E5A" w:rsidRPr="00893153" w:rsidRDefault="00BF4E5A" w:rsidP="00BF4E5A">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893153">
              <w:rPr>
                <w:rFonts w:ascii="Arial" w:hAnsi="Arial" w:cs="Arial"/>
                <w:b w:val="0"/>
                <w:bCs w:val="0"/>
                <w:snapToGrid w:val="0"/>
                <w:color w:val="000000"/>
              </w:rPr>
              <w:t xml:space="preserve">Matthew Barker </w:t>
            </w:r>
          </w:p>
        </w:tc>
        <w:tc>
          <w:tcPr>
            <w:cnfStyle w:val="000100000000" w:firstRow="0" w:lastRow="0" w:firstColumn="0" w:lastColumn="1" w:oddVBand="0" w:evenVBand="0" w:oddHBand="0" w:evenHBand="0" w:firstRowFirstColumn="0" w:firstRowLastColumn="0" w:lastRowFirstColumn="0" w:lastRowLastColumn="0"/>
            <w:tcW w:w="682" w:type="pct"/>
          </w:tcPr>
          <w:p w14:paraId="3CC11784" w14:textId="77777777" w:rsidR="00BF4E5A" w:rsidRPr="00766582" w:rsidRDefault="00BF4E5A" w:rsidP="00BF4E5A">
            <w:pPr>
              <w:rPr>
                <w:rFonts w:ascii="Arial" w:hAnsi="Arial" w:cs="Arial"/>
                <w:snapToGrid w:val="0"/>
                <w:color w:val="000000"/>
              </w:rPr>
            </w:pPr>
            <w:r w:rsidRPr="009B7D61">
              <w:rPr>
                <w:rFonts w:ascii="Arial" w:hAnsi="Arial" w:cs="Arial"/>
                <w:snapToGrid w:val="0"/>
                <w:color w:val="000000"/>
              </w:rPr>
              <w:t>Z1972899</w:t>
            </w:r>
          </w:p>
        </w:tc>
      </w:tr>
    </w:tbl>
    <w:p w14:paraId="3737384B" w14:textId="77777777" w:rsidR="00BF4E5A" w:rsidRDefault="00BF4E5A" w:rsidP="004F66DD">
      <w:pPr>
        <w:spacing w:after="0"/>
        <w:rPr>
          <w:rFonts w:ascii="Arial" w:hAnsi="Arial" w:cs="Arial"/>
          <w:b/>
          <w:bCs/>
        </w:rPr>
      </w:pPr>
    </w:p>
    <w:p w14:paraId="5C7755D5" w14:textId="77777777"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2F802B3" w14:textId="77777777" w:rsidTr="007D3DE4">
        <w:tc>
          <w:tcPr>
            <w:tcW w:w="1980" w:type="pct"/>
          </w:tcPr>
          <w:p w14:paraId="6924BC3F"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41569DFE" w14:textId="0CA84D9C" w:rsidR="00BE723F" w:rsidRPr="00766582" w:rsidRDefault="00EE759C" w:rsidP="00BB0EDF">
            <w:pPr>
              <w:rPr>
                <w:rFonts w:ascii="Arial" w:hAnsi="Arial" w:cs="Arial"/>
                <w:snapToGrid w:val="0"/>
                <w:color w:val="000000"/>
              </w:rPr>
            </w:pPr>
            <w:r>
              <w:rPr>
                <w:rFonts w:ascii="Arial" w:hAnsi="Arial" w:cs="Arial"/>
                <w:snapToGrid w:val="0"/>
                <w:color w:val="000000"/>
              </w:rPr>
              <w:t>June 202</w:t>
            </w:r>
            <w:r w:rsidR="007F620C">
              <w:rPr>
                <w:rFonts w:ascii="Arial" w:hAnsi="Arial" w:cs="Arial"/>
                <w:snapToGrid w:val="0"/>
                <w:color w:val="000000"/>
              </w:rPr>
              <w:t>2</w:t>
            </w:r>
          </w:p>
        </w:tc>
      </w:tr>
      <w:tr w:rsidR="00BE723F" w:rsidRPr="00766582" w14:paraId="75DBCD6A" w14:textId="77777777" w:rsidTr="007D3DE4">
        <w:tc>
          <w:tcPr>
            <w:tcW w:w="1980" w:type="pct"/>
          </w:tcPr>
          <w:p w14:paraId="6F8C564E"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75D7E0E6" w14:textId="756864E1" w:rsidR="00BE723F" w:rsidRPr="00766582" w:rsidRDefault="00ED1C50" w:rsidP="00BB0EDF">
            <w:pPr>
              <w:rPr>
                <w:rFonts w:ascii="Arial" w:hAnsi="Arial" w:cs="Arial"/>
                <w:snapToGrid w:val="0"/>
                <w:color w:val="000000"/>
              </w:rPr>
            </w:pPr>
            <w:r>
              <w:rPr>
                <w:rFonts w:ascii="Arial" w:hAnsi="Arial" w:cs="Arial"/>
                <w:snapToGrid w:val="0"/>
                <w:color w:val="000000"/>
              </w:rPr>
              <w:t>June 202</w:t>
            </w:r>
            <w:r w:rsidR="007F620C">
              <w:rPr>
                <w:rFonts w:ascii="Arial" w:hAnsi="Arial" w:cs="Arial"/>
                <w:snapToGrid w:val="0"/>
                <w:color w:val="000000"/>
              </w:rPr>
              <w:t>3</w:t>
            </w:r>
          </w:p>
        </w:tc>
      </w:tr>
      <w:tr w:rsidR="00BE723F" w:rsidRPr="00766582" w14:paraId="7814102A" w14:textId="77777777" w:rsidTr="007D3DE4">
        <w:tc>
          <w:tcPr>
            <w:tcW w:w="1980" w:type="pct"/>
          </w:tcPr>
          <w:p w14:paraId="0C645113" w14:textId="77777777"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7F86F93A" w14:textId="77777777" w:rsidR="00BE723F" w:rsidRPr="00766582" w:rsidRDefault="00ED1C50" w:rsidP="00BB0EDF">
            <w:pPr>
              <w:rPr>
                <w:rFonts w:ascii="Arial" w:hAnsi="Arial" w:cs="Arial"/>
                <w:snapToGrid w:val="0"/>
                <w:color w:val="000000"/>
              </w:rPr>
            </w:pPr>
            <w:r>
              <w:rPr>
                <w:rFonts w:ascii="Arial" w:hAnsi="Arial" w:cs="Arial"/>
                <w:snapToGrid w:val="0"/>
                <w:color w:val="000000"/>
              </w:rPr>
              <w:t>ECC</w:t>
            </w:r>
          </w:p>
        </w:tc>
      </w:tr>
      <w:tr w:rsidR="00BE723F" w:rsidRPr="00766582" w14:paraId="733D1F05" w14:textId="77777777" w:rsidTr="007D3DE4">
        <w:tc>
          <w:tcPr>
            <w:tcW w:w="1980" w:type="pct"/>
          </w:tcPr>
          <w:p w14:paraId="34BD2341" w14:textId="77777777"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56FE422A" w14:textId="77777777" w:rsidR="00BE723F" w:rsidRPr="00766582" w:rsidRDefault="00D6413C" w:rsidP="00BB0EDF">
            <w:pPr>
              <w:rPr>
                <w:rFonts w:ascii="Arial" w:hAnsi="Arial" w:cs="Arial"/>
                <w:snapToGrid w:val="0"/>
                <w:color w:val="000000"/>
              </w:rPr>
            </w:pPr>
            <w:r>
              <w:rPr>
                <w:rFonts w:ascii="Arial" w:hAnsi="Arial" w:cs="Arial"/>
                <w:snapToGrid w:val="0"/>
                <w:color w:val="000000"/>
              </w:rPr>
              <w:t>Josie Harding/</w:t>
            </w:r>
            <w:r w:rsidRPr="009B7D61">
              <w:rPr>
                <w:rFonts w:ascii="Arial" w:hAnsi="Arial" w:cs="Arial"/>
                <w:snapToGrid w:val="0"/>
              </w:rPr>
              <w:t>Zenith McIntyre-Allen</w:t>
            </w:r>
            <w:r>
              <w:rPr>
                <w:rFonts w:ascii="Arial" w:hAnsi="Arial" w:cs="Arial"/>
                <w:snapToGrid w:val="0"/>
              </w:rPr>
              <w:t>/Katy Bennett/Tom MacGregor</w:t>
            </w:r>
          </w:p>
        </w:tc>
      </w:tr>
      <w:tr w:rsidR="00BE723F" w:rsidRPr="00766582" w14:paraId="20FBEEC2" w14:textId="77777777" w:rsidTr="007D3DE4">
        <w:trPr>
          <w:trHeight w:val="256"/>
        </w:trPr>
        <w:tc>
          <w:tcPr>
            <w:tcW w:w="1980" w:type="pct"/>
          </w:tcPr>
          <w:p w14:paraId="0ADBF3E3"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332802B0" w14:textId="34EAF1DF" w:rsidR="00BE723F" w:rsidRPr="00766582" w:rsidRDefault="007C3BF9" w:rsidP="00BB0EDF">
            <w:pPr>
              <w:rPr>
                <w:rFonts w:ascii="Arial" w:hAnsi="Arial" w:cs="Arial"/>
                <w:snapToGrid w:val="0"/>
                <w:color w:val="000000"/>
              </w:rPr>
            </w:pPr>
            <w:r>
              <w:rPr>
                <w:rFonts w:ascii="Arial" w:hAnsi="Arial" w:cs="Arial"/>
                <w:snapToGrid w:val="0"/>
                <w:color w:val="000000"/>
              </w:rPr>
              <w:t>Approved</w:t>
            </w:r>
          </w:p>
        </w:tc>
      </w:tr>
      <w:tr w:rsidR="00BE723F" w:rsidRPr="00766582" w14:paraId="3598790D" w14:textId="77777777" w:rsidTr="007D3DE4">
        <w:trPr>
          <w:trHeight w:val="218"/>
        </w:trPr>
        <w:tc>
          <w:tcPr>
            <w:tcW w:w="1980" w:type="pct"/>
          </w:tcPr>
          <w:p w14:paraId="7C0353A0"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6AC2873" w14:textId="77777777" w:rsidR="00BE723F" w:rsidRPr="00766582" w:rsidRDefault="00F500E1" w:rsidP="00BB0EDF">
            <w:pPr>
              <w:rPr>
                <w:rFonts w:ascii="Arial" w:hAnsi="Arial" w:cs="Arial"/>
                <w:snapToGrid w:val="0"/>
                <w:color w:val="000000"/>
              </w:rPr>
            </w:pPr>
            <w:r>
              <w:rPr>
                <w:rFonts w:ascii="Arial" w:hAnsi="Arial" w:cs="Arial"/>
                <w:snapToGrid w:val="0"/>
                <w:color w:val="000000"/>
              </w:rPr>
              <w:t>0.3</w:t>
            </w:r>
          </w:p>
        </w:tc>
      </w:tr>
    </w:tbl>
    <w:p w14:paraId="3568C72F" w14:textId="77777777" w:rsidR="00DE6587" w:rsidRDefault="00DE6587"/>
    <w:p w14:paraId="0FAE194A"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W</w:t>
      </w:r>
      <w:r w:rsidR="00E132AB">
        <w:rPr>
          <w:rFonts w:ascii="Arial" w:hAnsi="Arial" w:cs="Arial"/>
          <w:b/>
          <w:bCs/>
          <w:color w:val="003399"/>
          <w:sz w:val="40"/>
          <w:szCs w:val="40"/>
        </w:rPr>
        <w:t>ider Eastern Information Stakeholder Forum</w:t>
      </w:r>
    </w:p>
    <w:p w14:paraId="250CDCBD" w14:textId="77777777" w:rsidR="00333A42" w:rsidRPr="00D5734E" w:rsidRDefault="00333A42" w:rsidP="00333A42">
      <w:pPr>
        <w:spacing w:after="0" w:line="240" w:lineRule="auto"/>
        <w:jc w:val="both"/>
        <w:rPr>
          <w:rFonts w:ascii="Arial" w:hAnsi="Arial" w:cs="Arial"/>
          <w:sz w:val="18"/>
          <w:szCs w:val="24"/>
        </w:rPr>
      </w:pPr>
    </w:p>
    <w:p w14:paraId="797D029E"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BDA5DEF"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13528174"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5F3CFAA2"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4167FB3C"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4D1DF33B"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1108EE63"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1EADF82D"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316904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63A96A33"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55C1D23"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69D6B628" w14:textId="77777777" w:rsidR="00333A42" w:rsidRPr="00D5734E" w:rsidRDefault="00333A42" w:rsidP="00333A42">
      <w:pPr>
        <w:spacing w:after="0" w:line="240" w:lineRule="auto"/>
        <w:jc w:val="both"/>
        <w:rPr>
          <w:rFonts w:ascii="Arial" w:hAnsi="Arial" w:cs="Arial"/>
          <w:sz w:val="16"/>
          <w:szCs w:val="24"/>
        </w:rPr>
      </w:pPr>
    </w:p>
    <w:p w14:paraId="6D1712D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293ABB0B"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A81BFCE" w14:textId="77777777" w:rsidTr="00B052FC">
        <w:tc>
          <w:tcPr>
            <w:tcW w:w="6668" w:type="dxa"/>
          </w:tcPr>
          <w:p w14:paraId="4D264F11"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360" w:type="dxa"/>
          </w:tcPr>
          <w:p w14:paraId="51B4103F"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20" w:type="dxa"/>
          </w:tcPr>
          <w:p w14:paraId="03E02F43"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B052FC" w:rsidRPr="008C4928" w14:paraId="695AA74E" w14:textId="77777777" w:rsidTr="00B052FC">
        <w:tc>
          <w:tcPr>
            <w:tcW w:w="6668" w:type="dxa"/>
          </w:tcPr>
          <w:p w14:paraId="6EA830F4" w14:textId="77777777" w:rsidR="00B052FC" w:rsidRPr="008C4928" w:rsidRDefault="00B052FC" w:rsidP="00B052FC">
            <w:pPr>
              <w:rPr>
                <w:rFonts w:ascii="Arial" w:hAnsi="Arial" w:cs="Arial"/>
                <w:sz w:val="24"/>
                <w:szCs w:val="24"/>
              </w:rPr>
            </w:pPr>
            <w:r>
              <w:rPr>
                <w:rFonts w:ascii="Arial" w:hAnsi="Arial" w:cs="Arial"/>
                <w:sz w:val="24"/>
                <w:szCs w:val="24"/>
              </w:rPr>
              <w:t xml:space="preserve">Data </w:t>
            </w:r>
            <w:r w:rsidRPr="006C7450">
              <w:rPr>
                <w:rFonts w:ascii="Arial" w:hAnsi="Arial" w:cs="Arial"/>
                <w:sz w:val="24"/>
                <w:szCs w:val="24"/>
              </w:rPr>
              <w:t>Pr</w:t>
            </w:r>
            <w:r>
              <w:rPr>
                <w:rFonts w:ascii="Arial" w:hAnsi="Arial" w:cs="Arial"/>
                <w:sz w:val="24"/>
                <w:szCs w:val="24"/>
              </w:rPr>
              <w:t>otection</w:t>
            </w:r>
            <w:r w:rsidRPr="006C7450">
              <w:rPr>
                <w:rFonts w:ascii="Arial" w:hAnsi="Arial" w:cs="Arial"/>
                <w:sz w:val="24"/>
                <w:szCs w:val="24"/>
              </w:rPr>
              <w:t xml:space="preserve"> Impact Assessment</w:t>
            </w:r>
            <w:r>
              <w:rPr>
                <w:rStyle w:val="Hyperlink"/>
                <w:rFonts w:ascii="Arial" w:hAnsi="Arial" w:cs="Arial"/>
                <w:sz w:val="24"/>
                <w:szCs w:val="24"/>
              </w:rPr>
              <w:t xml:space="preserve"> </w:t>
            </w:r>
            <w:r w:rsidRPr="006C7450">
              <w:rPr>
                <w:rStyle w:val="Hyperlink"/>
                <w:rFonts w:ascii="Arial" w:hAnsi="Arial" w:cs="Arial"/>
                <w:color w:val="auto"/>
                <w:sz w:val="24"/>
                <w:szCs w:val="24"/>
              </w:rPr>
              <w:t>(DPIA)</w:t>
            </w:r>
          </w:p>
        </w:tc>
        <w:tc>
          <w:tcPr>
            <w:tcW w:w="3360" w:type="dxa"/>
            <w:shd w:val="clear" w:color="auto" w:fill="auto"/>
          </w:tcPr>
          <w:p w14:paraId="456AE8CA" w14:textId="77777777" w:rsidR="00B052FC" w:rsidRPr="000236CE" w:rsidRDefault="00B052FC" w:rsidP="00B052FC">
            <w:pPr>
              <w:rPr>
                <w:rFonts w:ascii="Arial" w:hAnsi="Arial" w:cs="Arial"/>
                <w:b w:val="0"/>
                <w:bCs/>
                <w:sz w:val="24"/>
                <w:szCs w:val="24"/>
              </w:rPr>
            </w:pPr>
            <w:r w:rsidRPr="000236CE">
              <w:rPr>
                <w:rFonts w:ascii="Arial" w:hAnsi="Arial" w:cs="Arial"/>
                <w:b w:val="0"/>
                <w:bCs/>
                <w:sz w:val="24"/>
                <w:szCs w:val="24"/>
              </w:rPr>
              <w:t>1166 TM</w:t>
            </w:r>
          </w:p>
        </w:tc>
        <w:tc>
          <w:tcPr>
            <w:tcW w:w="3920" w:type="dxa"/>
          </w:tcPr>
          <w:p w14:paraId="317179CE" w14:textId="77777777" w:rsidR="00B052FC" w:rsidRPr="000236CE" w:rsidRDefault="00B052FC" w:rsidP="00B052FC">
            <w:pPr>
              <w:rPr>
                <w:rFonts w:ascii="Arial" w:hAnsi="Arial" w:cs="Arial"/>
                <w:b w:val="0"/>
                <w:bCs/>
                <w:sz w:val="24"/>
                <w:szCs w:val="24"/>
              </w:rPr>
            </w:pPr>
            <w:r w:rsidRPr="000236CE">
              <w:rPr>
                <w:rFonts w:ascii="Arial" w:hAnsi="Arial" w:cs="Arial"/>
                <w:b w:val="0"/>
                <w:bCs/>
                <w:sz w:val="24"/>
                <w:szCs w:val="24"/>
              </w:rPr>
              <w:t>Essex County Council</w:t>
            </w:r>
          </w:p>
        </w:tc>
      </w:tr>
      <w:tr w:rsidR="00B052FC" w:rsidRPr="008C4928" w14:paraId="2FF53193" w14:textId="77777777" w:rsidTr="00B052FC">
        <w:tc>
          <w:tcPr>
            <w:tcW w:w="6668" w:type="dxa"/>
          </w:tcPr>
          <w:p w14:paraId="55D14283" w14:textId="77777777" w:rsidR="00B052FC" w:rsidRPr="008C4928" w:rsidRDefault="00B052FC" w:rsidP="00B052FC">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360" w:type="dxa"/>
          </w:tcPr>
          <w:p w14:paraId="57F17A00" w14:textId="77777777" w:rsidR="00B052FC" w:rsidRPr="000236CE" w:rsidRDefault="00B052FC" w:rsidP="00B052FC">
            <w:pPr>
              <w:rPr>
                <w:rFonts w:ascii="Arial" w:hAnsi="Arial" w:cs="Arial"/>
                <w:b w:val="0"/>
                <w:bCs/>
                <w:sz w:val="24"/>
                <w:szCs w:val="24"/>
              </w:rPr>
            </w:pPr>
          </w:p>
        </w:tc>
        <w:tc>
          <w:tcPr>
            <w:tcW w:w="3920" w:type="dxa"/>
          </w:tcPr>
          <w:p w14:paraId="65E226BE" w14:textId="77777777" w:rsidR="00B052FC" w:rsidRPr="000236CE" w:rsidRDefault="00B052FC" w:rsidP="00B052FC">
            <w:pPr>
              <w:rPr>
                <w:rFonts w:ascii="Arial" w:hAnsi="Arial" w:cs="Arial"/>
                <w:b w:val="0"/>
                <w:bCs/>
                <w:sz w:val="24"/>
                <w:szCs w:val="24"/>
              </w:rPr>
            </w:pPr>
          </w:p>
        </w:tc>
      </w:tr>
      <w:tr w:rsidR="00B052FC" w:rsidRPr="008C4928" w14:paraId="4BB7F5BD" w14:textId="77777777" w:rsidTr="00B052FC">
        <w:tc>
          <w:tcPr>
            <w:tcW w:w="6668" w:type="dxa"/>
          </w:tcPr>
          <w:p w14:paraId="6C7B931D" w14:textId="77777777" w:rsidR="00B052FC" w:rsidRPr="008C4928" w:rsidRDefault="00B052FC" w:rsidP="00B052FC">
            <w:pPr>
              <w:rPr>
                <w:rFonts w:ascii="Arial" w:hAnsi="Arial" w:cs="Arial"/>
                <w:sz w:val="24"/>
                <w:szCs w:val="24"/>
              </w:rPr>
            </w:pPr>
            <w:r>
              <w:rPr>
                <w:rFonts w:ascii="Arial" w:hAnsi="Arial" w:cs="Arial"/>
                <w:sz w:val="24"/>
                <w:szCs w:val="24"/>
              </w:rPr>
              <w:t>Associated contract</w:t>
            </w:r>
          </w:p>
        </w:tc>
        <w:tc>
          <w:tcPr>
            <w:tcW w:w="3360" w:type="dxa"/>
          </w:tcPr>
          <w:p w14:paraId="5BC7C103" w14:textId="77777777" w:rsidR="00B052FC" w:rsidRPr="000236CE" w:rsidRDefault="00B052FC" w:rsidP="00B052FC">
            <w:pPr>
              <w:rPr>
                <w:rFonts w:ascii="Arial" w:hAnsi="Arial" w:cs="Arial"/>
                <w:b w:val="0"/>
                <w:bCs/>
                <w:sz w:val="24"/>
                <w:szCs w:val="24"/>
              </w:rPr>
            </w:pPr>
            <w:r w:rsidRPr="000236CE">
              <w:rPr>
                <w:rFonts w:ascii="Arial" w:hAnsi="Arial" w:cs="Arial"/>
                <w:b w:val="0"/>
                <w:bCs/>
                <w:sz w:val="24"/>
                <w:szCs w:val="24"/>
              </w:rPr>
              <w:t>Snowflake and Azure</w:t>
            </w:r>
          </w:p>
        </w:tc>
        <w:tc>
          <w:tcPr>
            <w:tcW w:w="3920" w:type="dxa"/>
          </w:tcPr>
          <w:p w14:paraId="19446523" w14:textId="77777777" w:rsidR="00B052FC" w:rsidRPr="000236CE" w:rsidRDefault="00B052FC" w:rsidP="00B052FC">
            <w:pPr>
              <w:rPr>
                <w:rFonts w:ascii="Arial" w:hAnsi="Arial" w:cs="Arial"/>
                <w:b w:val="0"/>
                <w:bCs/>
                <w:sz w:val="24"/>
                <w:szCs w:val="24"/>
              </w:rPr>
            </w:pPr>
            <w:r w:rsidRPr="000236CE">
              <w:rPr>
                <w:rFonts w:ascii="Arial" w:hAnsi="Arial" w:cs="Arial"/>
                <w:b w:val="0"/>
                <w:bCs/>
                <w:sz w:val="24"/>
                <w:szCs w:val="24"/>
              </w:rPr>
              <w:t>Snowflake – Mid &amp; South Essex Foundation Trust</w:t>
            </w:r>
          </w:p>
          <w:p w14:paraId="6FE8A968" w14:textId="77777777" w:rsidR="00B052FC" w:rsidRPr="000236CE" w:rsidRDefault="00B052FC" w:rsidP="00B052FC">
            <w:pPr>
              <w:rPr>
                <w:rFonts w:ascii="Arial" w:hAnsi="Arial" w:cs="Arial"/>
                <w:b w:val="0"/>
                <w:bCs/>
                <w:sz w:val="24"/>
                <w:szCs w:val="24"/>
              </w:rPr>
            </w:pPr>
            <w:r w:rsidRPr="000236CE">
              <w:rPr>
                <w:rFonts w:ascii="Arial" w:hAnsi="Arial" w:cs="Arial"/>
                <w:b w:val="0"/>
                <w:bCs/>
                <w:sz w:val="24"/>
                <w:szCs w:val="24"/>
              </w:rPr>
              <w:t>Azure – Mid &amp; South Essex Foundation Trust, Essex County Council</w:t>
            </w:r>
          </w:p>
        </w:tc>
      </w:tr>
      <w:tr w:rsidR="00B052FC" w:rsidRPr="008C4928" w14:paraId="285506CF" w14:textId="77777777" w:rsidTr="00B052FC">
        <w:tc>
          <w:tcPr>
            <w:tcW w:w="6668" w:type="dxa"/>
          </w:tcPr>
          <w:p w14:paraId="6B5B3058" w14:textId="77777777" w:rsidR="00B052FC" w:rsidRDefault="00B052FC" w:rsidP="00B052FC">
            <w:pPr>
              <w:rPr>
                <w:rFonts w:ascii="Arial" w:hAnsi="Arial" w:cs="Arial"/>
                <w:sz w:val="24"/>
                <w:szCs w:val="24"/>
              </w:rPr>
            </w:pPr>
            <w:r>
              <w:rPr>
                <w:rFonts w:ascii="Arial" w:hAnsi="Arial" w:cs="Arial"/>
                <w:sz w:val="24"/>
                <w:szCs w:val="24"/>
              </w:rPr>
              <w:t>Associated Policy Documents</w:t>
            </w:r>
          </w:p>
        </w:tc>
        <w:tc>
          <w:tcPr>
            <w:tcW w:w="3360" w:type="dxa"/>
          </w:tcPr>
          <w:p w14:paraId="245A9442" w14:textId="77777777" w:rsidR="00B052FC" w:rsidRPr="008C4928" w:rsidRDefault="00B052FC" w:rsidP="00B052FC">
            <w:pPr>
              <w:rPr>
                <w:rFonts w:ascii="Arial" w:hAnsi="Arial" w:cs="Arial"/>
                <w:sz w:val="24"/>
                <w:szCs w:val="24"/>
              </w:rPr>
            </w:pPr>
          </w:p>
        </w:tc>
        <w:tc>
          <w:tcPr>
            <w:tcW w:w="3920" w:type="dxa"/>
          </w:tcPr>
          <w:p w14:paraId="41F67E38" w14:textId="77777777" w:rsidR="00B052FC" w:rsidRPr="008C4928" w:rsidRDefault="00B052FC" w:rsidP="00B052FC">
            <w:pPr>
              <w:rPr>
                <w:rFonts w:ascii="Arial" w:hAnsi="Arial" w:cs="Arial"/>
                <w:sz w:val="24"/>
                <w:szCs w:val="24"/>
              </w:rPr>
            </w:pPr>
          </w:p>
        </w:tc>
      </w:tr>
      <w:tr w:rsidR="00B052FC" w:rsidRPr="008C4928" w14:paraId="2FC913FC" w14:textId="77777777" w:rsidTr="00B052FC">
        <w:tc>
          <w:tcPr>
            <w:tcW w:w="6668" w:type="dxa"/>
          </w:tcPr>
          <w:p w14:paraId="60F2EC38" w14:textId="77777777" w:rsidR="00B052FC" w:rsidRPr="008C4928" w:rsidRDefault="00B052FC" w:rsidP="00B052FC">
            <w:pPr>
              <w:rPr>
                <w:rFonts w:ascii="Arial" w:hAnsi="Arial" w:cs="Arial"/>
                <w:sz w:val="24"/>
                <w:szCs w:val="24"/>
              </w:rPr>
            </w:pPr>
            <w:r>
              <w:rPr>
                <w:rFonts w:ascii="Arial" w:hAnsi="Arial" w:cs="Arial"/>
                <w:sz w:val="24"/>
                <w:szCs w:val="24"/>
              </w:rPr>
              <w:t>Other associated supporting documentation</w:t>
            </w:r>
          </w:p>
        </w:tc>
        <w:tc>
          <w:tcPr>
            <w:tcW w:w="3360" w:type="dxa"/>
          </w:tcPr>
          <w:p w14:paraId="625D02F3" w14:textId="77777777" w:rsidR="00B052FC" w:rsidRPr="008C4928" w:rsidRDefault="00B052FC" w:rsidP="00B052FC">
            <w:pPr>
              <w:rPr>
                <w:rFonts w:ascii="Arial" w:hAnsi="Arial" w:cs="Arial"/>
                <w:sz w:val="24"/>
                <w:szCs w:val="24"/>
              </w:rPr>
            </w:pPr>
          </w:p>
        </w:tc>
        <w:tc>
          <w:tcPr>
            <w:tcW w:w="3920" w:type="dxa"/>
          </w:tcPr>
          <w:p w14:paraId="2546FF9E" w14:textId="77777777" w:rsidR="00B052FC" w:rsidRPr="008C4928" w:rsidRDefault="00B052FC" w:rsidP="00B052FC">
            <w:pPr>
              <w:rPr>
                <w:rFonts w:ascii="Arial" w:hAnsi="Arial" w:cs="Arial"/>
                <w:sz w:val="24"/>
                <w:szCs w:val="24"/>
              </w:rPr>
            </w:pPr>
          </w:p>
        </w:tc>
      </w:tr>
    </w:tbl>
    <w:p w14:paraId="50107E3E" w14:textId="77777777" w:rsidR="00333A42" w:rsidRPr="00D5734E" w:rsidRDefault="00333A42" w:rsidP="00333A42">
      <w:pPr>
        <w:spacing w:after="0" w:line="240" w:lineRule="auto"/>
        <w:jc w:val="both"/>
        <w:rPr>
          <w:rFonts w:ascii="Arial" w:hAnsi="Arial" w:cs="Arial"/>
          <w:sz w:val="20"/>
          <w:szCs w:val="20"/>
        </w:rPr>
      </w:pPr>
    </w:p>
    <w:p w14:paraId="23C7E63E" w14:textId="77777777" w:rsidR="004209F2" w:rsidRDefault="004209F2">
      <w:pPr>
        <w:rPr>
          <w:rStyle w:val="Hyperlink"/>
          <w:rFonts w:ascii="Arial" w:hAnsi="Arial" w:cs="Arial"/>
          <w:sz w:val="24"/>
          <w:szCs w:val="24"/>
        </w:rPr>
      </w:pPr>
      <w:r>
        <w:rPr>
          <w:rStyle w:val="Hyperlink"/>
          <w:rFonts w:ascii="Arial" w:hAnsi="Arial" w:cs="Arial"/>
          <w:sz w:val="24"/>
          <w:szCs w:val="24"/>
        </w:rPr>
        <w:br w:type="page"/>
      </w:r>
    </w:p>
    <w:p w14:paraId="46D8AA92" w14:textId="77777777"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43804CD7" w14:textId="77777777" w:rsidTr="006010FD">
        <w:tc>
          <w:tcPr>
            <w:tcW w:w="13948" w:type="dxa"/>
          </w:tcPr>
          <w:p w14:paraId="011478E9" w14:textId="77777777" w:rsidR="006010FD" w:rsidRDefault="006010FD" w:rsidP="006010FD">
            <w:pPr>
              <w:rPr>
                <w:rFonts w:ascii="Arial" w:hAnsi="Arial" w:cs="Arial"/>
                <w:b w:val="0"/>
                <w:color w:val="000000" w:themeColor="text1"/>
                <w:sz w:val="24"/>
              </w:rPr>
            </w:pPr>
          </w:p>
          <w:p w14:paraId="096F3C45" w14:textId="77777777" w:rsidR="001D4FB6" w:rsidRPr="00A6000C" w:rsidRDefault="001D4FB6" w:rsidP="001D4FB6">
            <w:pPr>
              <w:rPr>
                <w:rFonts w:ascii="Arial" w:hAnsi="Arial" w:cs="Arial"/>
                <w:bCs/>
                <w:iCs/>
                <w:lang w:eastAsia="en-GB"/>
              </w:rPr>
            </w:pPr>
            <w:r w:rsidRPr="00A6000C">
              <w:rPr>
                <w:rFonts w:ascii="Arial" w:hAnsi="Arial" w:cs="Arial"/>
                <w:bCs/>
                <w:iCs/>
                <w:lang w:eastAsia="en-GB"/>
              </w:rPr>
              <w:t>Context</w:t>
            </w:r>
          </w:p>
          <w:p w14:paraId="0B67CA55" w14:textId="77777777" w:rsidR="001D4FB6" w:rsidRPr="00A6000C" w:rsidRDefault="001D4FB6" w:rsidP="001D4FB6">
            <w:pPr>
              <w:rPr>
                <w:rFonts w:ascii="Arial" w:hAnsi="Arial" w:cs="Arial"/>
                <w:b w:val="0"/>
                <w:iCs/>
                <w:lang w:eastAsia="en-GB"/>
              </w:rPr>
            </w:pPr>
            <w:r w:rsidRPr="00A6000C">
              <w:rPr>
                <w:rFonts w:ascii="Arial" w:hAnsi="Arial" w:cs="Arial"/>
                <w:b w:val="0"/>
                <w:iCs/>
                <w:lang w:eastAsia="en-GB"/>
              </w:rPr>
              <w:t xml:space="preserve">People living in more deprived areas wait up to 35% longer (43 days) for treatment than those in the least deprived areas [Source: </w:t>
            </w:r>
            <w:proofErr w:type="spellStart"/>
            <w:r w:rsidRPr="00A6000C">
              <w:rPr>
                <w:rFonts w:ascii="Arial" w:hAnsi="Arial" w:cs="Arial"/>
                <w:b w:val="0"/>
                <w:iCs/>
                <w:lang w:eastAsia="en-GB"/>
              </w:rPr>
              <w:t>Moscelli</w:t>
            </w:r>
            <w:proofErr w:type="spellEnd"/>
            <w:r w:rsidRPr="00A6000C">
              <w:rPr>
                <w:rFonts w:ascii="Arial" w:hAnsi="Arial" w:cs="Arial"/>
                <w:b w:val="0"/>
                <w:iCs/>
                <w:lang w:eastAsia="en-GB"/>
              </w:rPr>
              <w:t xml:space="preserve"> et al (2018), “Socioeconomic inequality of access to healthcare: Does choice explain the gradient?”]. This finding is even more stark when we consider the current situation where “the number of people waiting for hospital treatment in England has hit a record high of 5.7 million as the NHS struggles to clear the growing backlog of care worsened by the pandemic” [Source: The Guardian (14</w:t>
            </w:r>
            <w:r w:rsidRPr="00A6000C">
              <w:rPr>
                <w:rFonts w:ascii="Arial" w:hAnsi="Arial" w:cs="Arial"/>
                <w:b w:val="0"/>
                <w:iCs/>
                <w:vertAlign w:val="superscript"/>
                <w:lang w:eastAsia="en-GB"/>
              </w:rPr>
              <w:t>th</w:t>
            </w:r>
            <w:r w:rsidRPr="00A6000C">
              <w:rPr>
                <w:rFonts w:ascii="Arial" w:hAnsi="Arial" w:cs="Arial"/>
                <w:b w:val="0"/>
                <w:iCs/>
                <w:lang w:eastAsia="en-GB"/>
              </w:rPr>
              <w:t xml:space="preserve"> October 2021), “Record 5.7m people in England waiting for hospital treatment”]. As of October 2021, there were approximately 76,000 people waiting for treatment at Mid and South Essex Foundation Trust (MSEFT).</w:t>
            </w:r>
          </w:p>
          <w:p w14:paraId="27C9E4C0" w14:textId="77777777" w:rsidR="001D4FB6" w:rsidRPr="00A6000C" w:rsidRDefault="001D4FB6" w:rsidP="001D4FB6">
            <w:pPr>
              <w:rPr>
                <w:rFonts w:ascii="Arial" w:hAnsi="Arial" w:cs="Arial"/>
                <w:b w:val="0"/>
                <w:iCs/>
                <w:lang w:eastAsia="en-GB"/>
              </w:rPr>
            </w:pPr>
          </w:p>
          <w:p w14:paraId="07596EFC" w14:textId="77777777" w:rsidR="001D4FB6" w:rsidRPr="00A6000C" w:rsidRDefault="001D4FB6" w:rsidP="001D4FB6">
            <w:pPr>
              <w:rPr>
                <w:rFonts w:ascii="Arial" w:hAnsi="Arial" w:cs="Arial"/>
                <w:b w:val="0"/>
                <w:iCs/>
                <w:lang w:eastAsia="en-GB"/>
              </w:rPr>
            </w:pPr>
            <w:r w:rsidRPr="00A6000C">
              <w:rPr>
                <w:rFonts w:ascii="Arial" w:hAnsi="Arial" w:cs="Arial"/>
                <w:b w:val="0"/>
                <w:iCs/>
                <w:lang w:eastAsia="en-GB"/>
              </w:rPr>
              <w:t xml:space="preserve">Similarly, there has also been an </w:t>
            </w:r>
            <w:proofErr w:type="gramStart"/>
            <w:r w:rsidRPr="00A6000C">
              <w:rPr>
                <w:rFonts w:ascii="Arial" w:hAnsi="Arial" w:cs="Arial"/>
                <w:b w:val="0"/>
                <w:iCs/>
                <w:lang w:eastAsia="en-GB"/>
              </w:rPr>
              <w:t>increase</w:t>
            </w:r>
            <w:proofErr w:type="gramEnd"/>
            <w:r w:rsidRPr="00A6000C">
              <w:rPr>
                <w:rFonts w:ascii="Arial" w:hAnsi="Arial" w:cs="Arial"/>
                <w:b w:val="0"/>
                <w:iCs/>
                <w:lang w:eastAsia="en-GB"/>
              </w:rPr>
              <w:t xml:space="preserve"> number of people on local authority waiting lists for Adult Social Care services – either waiting for an initial care assessment or for a planned annual review of needs. Under the Care Act, councils are legally obliged to review care plans no later than every 12 months. As of October 2021, there were approximately 3,600 people on the Adult Social Care review waiting list.</w:t>
            </w:r>
          </w:p>
          <w:p w14:paraId="0D03717C" w14:textId="77777777" w:rsidR="001D4FB6" w:rsidRPr="00A6000C" w:rsidRDefault="001D4FB6" w:rsidP="001D4FB6">
            <w:pPr>
              <w:rPr>
                <w:rFonts w:ascii="Arial" w:hAnsi="Arial" w:cs="Arial"/>
                <w:b w:val="0"/>
                <w:iCs/>
                <w:lang w:eastAsia="en-GB"/>
              </w:rPr>
            </w:pPr>
          </w:p>
          <w:p w14:paraId="58255928" w14:textId="77777777" w:rsidR="001D4FB6" w:rsidRPr="00A6000C" w:rsidRDefault="001D4FB6" w:rsidP="001D4FB6">
            <w:pPr>
              <w:rPr>
                <w:rFonts w:ascii="Arial" w:hAnsi="Arial" w:cs="Arial"/>
                <w:bCs/>
                <w:iCs/>
                <w:lang w:eastAsia="en-GB"/>
              </w:rPr>
            </w:pPr>
            <w:r w:rsidRPr="00A6000C">
              <w:rPr>
                <w:rFonts w:ascii="Arial" w:hAnsi="Arial" w:cs="Arial"/>
                <w:bCs/>
                <w:iCs/>
                <w:lang w:eastAsia="en-GB"/>
              </w:rPr>
              <w:t>Purpose</w:t>
            </w:r>
          </w:p>
          <w:p w14:paraId="2BDA3115" w14:textId="77777777" w:rsidR="001D4FB6" w:rsidRPr="00A6000C" w:rsidRDefault="001D4FB6" w:rsidP="001D4FB6">
            <w:pPr>
              <w:rPr>
                <w:rFonts w:ascii="Arial" w:hAnsi="Arial" w:cs="Arial"/>
                <w:b w:val="0"/>
                <w:iCs/>
                <w:lang w:eastAsia="en-GB"/>
              </w:rPr>
            </w:pPr>
            <w:r w:rsidRPr="00A6000C">
              <w:rPr>
                <w:rFonts w:ascii="Arial" w:hAnsi="Arial" w:cs="Arial"/>
                <w:b w:val="0"/>
                <w:iCs/>
                <w:lang w:eastAsia="en-GB"/>
              </w:rPr>
              <w:t xml:space="preserve">The Health and Social Care Act 2012(3) placed a legal duty on Public Health England and NHS England to have due regard to reducing health inequalities, which are defined as “unfair and avoidable differences in health across the population, and between different groups within society” [Source: </w:t>
            </w:r>
            <w:hyperlink r:id="rId13" w:history="1">
              <w:r w:rsidRPr="00A6000C">
                <w:rPr>
                  <w:rStyle w:val="Hyperlink"/>
                  <w:rFonts w:ascii="Arial" w:hAnsi="Arial" w:cs="Arial"/>
                  <w:b w:val="0"/>
                  <w:iCs/>
                  <w:lang w:eastAsia="en-GB"/>
                </w:rPr>
                <w:t>https://www.england.nhs.uk/ltphimenu/definitions-for-health-inequalities/</w:t>
              </w:r>
            </w:hyperlink>
            <w:r w:rsidRPr="00A6000C">
              <w:rPr>
                <w:rFonts w:ascii="Arial" w:hAnsi="Arial" w:cs="Arial"/>
                <w:b w:val="0"/>
                <w:iCs/>
                <w:lang w:eastAsia="en-GB"/>
              </w:rPr>
              <w:t>].</w:t>
            </w:r>
          </w:p>
          <w:p w14:paraId="6C99B0D1" w14:textId="77777777" w:rsidR="001D4FB6" w:rsidRPr="00A6000C" w:rsidRDefault="001D4FB6" w:rsidP="001D4FB6">
            <w:pPr>
              <w:rPr>
                <w:rFonts w:ascii="Arial" w:hAnsi="Arial" w:cs="Arial"/>
                <w:b w:val="0"/>
                <w:iCs/>
                <w:lang w:eastAsia="en-GB"/>
              </w:rPr>
            </w:pPr>
          </w:p>
          <w:p w14:paraId="5F2138FC" w14:textId="77777777" w:rsidR="001D4FB6" w:rsidRDefault="001D4FB6" w:rsidP="001D4FB6">
            <w:pPr>
              <w:rPr>
                <w:rFonts w:ascii="Arial" w:hAnsi="Arial" w:cs="Arial"/>
                <w:b w:val="0"/>
                <w:iCs/>
                <w:lang w:eastAsia="en-GB"/>
              </w:rPr>
            </w:pPr>
            <w:r w:rsidRPr="00A6000C">
              <w:rPr>
                <w:rFonts w:ascii="Arial" w:hAnsi="Arial" w:cs="Arial"/>
                <w:b w:val="0"/>
                <w:iCs/>
                <w:lang w:eastAsia="en-GB"/>
              </w:rPr>
              <w:t xml:space="preserve">In these unprecedented times, where waiting lists are at their largest, we are able to see clearer than ever before the inequalities and disparities that exist locally and how </w:t>
            </w:r>
            <w:proofErr w:type="gramStart"/>
            <w:r w:rsidRPr="00A6000C">
              <w:rPr>
                <w:rFonts w:ascii="Arial" w:hAnsi="Arial" w:cs="Arial"/>
                <w:b w:val="0"/>
                <w:iCs/>
                <w:lang w:eastAsia="en-GB"/>
              </w:rPr>
              <w:t>this impacts</w:t>
            </w:r>
            <w:proofErr w:type="gramEnd"/>
            <w:r w:rsidRPr="00A6000C">
              <w:rPr>
                <w:rFonts w:ascii="Arial" w:hAnsi="Arial" w:cs="Arial"/>
                <w:b w:val="0"/>
                <w:iCs/>
                <w:lang w:eastAsia="en-GB"/>
              </w:rPr>
              <w:t xml:space="preserve"> on their access and experience of health and social care services, and their overall outcomes. By making health inequalities a large part of our work, MSEFT can explore how to reduce variations, </w:t>
            </w:r>
            <w:r w:rsidR="00245C9A" w:rsidRPr="00A6000C">
              <w:rPr>
                <w:rFonts w:ascii="Arial" w:hAnsi="Arial" w:cs="Arial"/>
                <w:b w:val="0"/>
                <w:iCs/>
                <w:lang w:eastAsia="en-GB"/>
              </w:rPr>
              <w:t>implement</w:t>
            </w:r>
            <w:r w:rsidR="00245C9A" w:rsidRPr="00A6000C">
              <w:rPr>
                <w:rFonts w:ascii="Arial" w:hAnsi="Arial" w:cs="Arial"/>
                <w:iCs/>
                <w:lang w:eastAsia="en-GB"/>
              </w:rPr>
              <w:t>,</w:t>
            </w:r>
            <w:r w:rsidRPr="00A6000C">
              <w:rPr>
                <w:rFonts w:ascii="Arial" w:hAnsi="Arial" w:cs="Arial"/>
                <w:b w:val="0"/>
                <w:iCs/>
                <w:lang w:eastAsia="en-GB"/>
              </w:rPr>
              <w:t xml:space="preserve"> and evaluate the impact of service-based interventions and plans to address pre-pandemic and pandemic-related disparities. The programme of work currently being undertaken at MSEFT will systematically analyse and reduce health inequalities, not just among patients waiting for hospital treatment but also among those who have received treatment, </w:t>
            </w:r>
            <w:r w:rsidR="00245C9A" w:rsidRPr="00A6000C">
              <w:rPr>
                <w:rFonts w:ascii="Arial" w:hAnsi="Arial" w:cs="Arial"/>
                <w:b w:val="0"/>
                <w:iCs/>
                <w:lang w:eastAsia="en-GB"/>
              </w:rPr>
              <w:t>cancelled</w:t>
            </w:r>
            <w:r w:rsidR="00245C9A" w:rsidRPr="00A6000C">
              <w:rPr>
                <w:rFonts w:ascii="Arial" w:hAnsi="Arial" w:cs="Arial"/>
                <w:iCs/>
                <w:lang w:eastAsia="en-GB"/>
              </w:rPr>
              <w:t>,</w:t>
            </w:r>
            <w:r w:rsidRPr="00A6000C">
              <w:rPr>
                <w:rFonts w:ascii="Arial" w:hAnsi="Arial" w:cs="Arial"/>
                <w:b w:val="0"/>
                <w:iCs/>
                <w:lang w:eastAsia="en-GB"/>
              </w:rPr>
              <w:t xml:space="preserve"> or do not attend their appointments, </w:t>
            </w:r>
            <w:proofErr w:type="gramStart"/>
            <w:r w:rsidRPr="00A6000C">
              <w:rPr>
                <w:rFonts w:ascii="Arial" w:hAnsi="Arial" w:cs="Arial"/>
                <w:b w:val="0"/>
                <w:iCs/>
                <w:lang w:eastAsia="en-GB"/>
              </w:rPr>
              <w:t>complaints</w:t>
            </w:r>
            <w:proofErr w:type="gramEnd"/>
            <w:r w:rsidRPr="00A6000C">
              <w:rPr>
                <w:rFonts w:ascii="Arial" w:hAnsi="Arial" w:cs="Arial"/>
                <w:b w:val="0"/>
                <w:iCs/>
                <w:lang w:eastAsia="en-GB"/>
              </w:rPr>
              <w:t xml:space="preserve"> and incidents of harm within the Trust. However, limitations to the MSEFT data systems means that they are not able to</w:t>
            </w:r>
            <w:r w:rsidRPr="00A6000C">
              <w:rPr>
                <w:rFonts w:ascii="Arial" w:hAnsi="Arial" w:cs="Arial"/>
                <w:b w:val="0"/>
                <w:lang w:eastAsia="en-GB"/>
              </w:rPr>
              <w:t xml:space="preserve"> </w:t>
            </w:r>
            <w:r w:rsidRPr="00A6000C">
              <w:rPr>
                <w:rFonts w:ascii="Arial" w:hAnsi="Arial" w:cs="Arial"/>
                <w:b w:val="0"/>
                <w:iCs/>
                <w:lang w:eastAsia="en-GB"/>
              </w:rPr>
              <w:t>identify all the potential inequalities among their patients using their datasets alone. This project will identify protected characteristics and health inequalities within MSEFT patient population using additional data available via ECC and aims to assess if there is unwarranted variation being experienced for this cohort. By just using the MSEFT dataset, there is a risk of excluding patient cohorts of increased risk or disadvantage where MSEFT information is limited.</w:t>
            </w:r>
          </w:p>
          <w:p w14:paraId="18940D84" w14:textId="77777777" w:rsidR="00E14925" w:rsidRDefault="00E14925" w:rsidP="001D4FB6">
            <w:pPr>
              <w:rPr>
                <w:rFonts w:ascii="Arial" w:hAnsi="Arial" w:cs="Arial"/>
                <w:b w:val="0"/>
                <w:iCs/>
                <w:lang w:eastAsia="en-GB"/>
              </w:rPr>
            </w:pPr>
          </w:p>
          <w:p w14:paraId="02D73EFF" w14:textId="77777777" w:rsidR="00E14925" w:rsidRPr="00E14925" w:rsidRDefault="00E14925" w:rsidP="00E14925">
            <w:pPr>
              <w:rPr>
                <w:rFonts w:ascii="Arial" w:hAnsi="Arial" w:cs="Arial"/>
                <w:b w:val="0"/>
                <w:iCs/>
                <w:lang w:eastAsia="en-GB"/>
              </w:rPr>
            </w:pPr>
            <w:r w:rsidRPr="00E14925">
              <w:rPr>
                <w:rFonts w:ascii="Arial" w:hAnsi="Arial" w:cs="Arial"/>
                <w:b w:val="0"/>
                <w:iCs/>
                <w:lang w:eastAsia="en-GB"/>
              </w:rPr>
              <w:t xml:space="preserve">Equality is a key theme of ECC’s new Organisation Strategy; understanding what is going on in particular parts of the county and for specific parts of our population is important insight for tackling inequalities and our Levelling Up work to level up our most deprived cohorts. “Some people and places need more help than others. We will target our attention and focus on the people and places where we can make the biggest difference to improve lives.” Source: Everyone’s Essex: On overview of the Plan for Essex 2021-2025 (dated 16th September 2021). From ECC's perspective, it is important to understand where residents and social care users in particular, may be facing multiple </w:t>
            </w:r>
            <w:r w:rsidRPr="00E14925">
              <w:rPr>
                <w:rFonts w:ascii="Arial" w:hAnsi="Arial" w:cs="Arial"/>
                <w:b w:val="0"/>
                <w:iCs/>
                <w:lang w:eastAsia="en-GB"/>
              </w:rPr>
              <w:lastRenderedPageBreak/>
              <w:t>disadvantages from the combinations of problems that prevent them living fulfilling and independent lives. In this case, being on waiting lists for healthcare services and risk of their condition deteriorating. This is important insight to support work to manage crisis demand for social care services towards more preventative approaches.</w:t>
            </w:r>
          </w:p>
          <w:p w14:paraId="16987F67" w14:textId="77777777" w:rsidR="00E14925" w:rsidRPr="00E14925" w:rsidRDefault="00E14925" w:rsidP="00E14925">
            <w:pPr>
              <w:rPr>
                <w:rFonts w:ascii="Arial" w:hAnsi="Arial" w:cs="Arial"/>
                <w:b w:val="0"/>
                <w:iCs/>
                <w:lang w:eastAsia="en-GB"/>
              </w:rPr>
            </w:pPr>
          </w:p>
          <w:p w14:paraId="735C3FD3" w14:textId="77777777" w:rsidR="00E14925" w:rsidRPr="00E14925" w:rsidRDefault="00E14925" w:rsidP="00E14925">
            <w:pPr>
              <w:rPr>
                <w:rFonts w:ascii="Arial" w:hAnsi="Arial" w:cs="Arial"/>
                <w:iCs/>
                <w:lang w:eastAsia="en-GB"/>
              </w:rPr>
            </w:pPr>
            <w:r w:rsidRPr="00E14925">
              <w:rPr>
                <w:rFonts w:ascii="Arial" w:hAnsi="Arial" w:cs="Arial"/>
                <w:iCs/>
                <w:lang w:eastAsia="en-GB"/>
              </w:rPr>
              <w:t>How we will use the data:</w:t>
            </w:r>
          </w:p>
          <w:p w14:paraId="35097558" w14:textId="77777777" w:rsidR="00E14925" w:rsidRPr="00E14925" w:rsidRDefault="00E14925" w:rsidP="00E14925">
            <w:pPr>
              <w:rPr>
                <w:rFonts w:ascii="Arial" w:hAnsi="Arial" w:cs="Arial"/>
                <w:b w:val="0"/>
                <w:iCs/>
                <w:lang w:eastAsia="en-GB"/>
              </w:rPr>
            </w:pPr>
            <w:r w:rsidRPr="00E14925">
              <w:rPr>
                <w:rFonts w:ascii="Arial" w:hAnsi="Arial" w:cs="Arial"/>
                <w:b w:val="0"/>
                <w:iCs/>
                <w:lang w:eastAsia="en-GB"/>
              </w:rPr>
              <w:t>The specific research questions that will be addressed are:</w:t>
            </w:r>
          </w:p>
          <w:p w14:paraId="46E775D4" w14:textId="77777777" w:rsidR="00E14925" w:rsidRPr="00E14925" w:rsidRDefault="00E14925" w:rsidP="00E14925">
            <w:pPr>
              <w:numPr>
                <w:ilvl w:val="0"/>
                <w:numId w:val="12"/>
              </w:numPr>
              <w:rPr>
                <w:rFonts w:ascii="Arial" w:hAnsi="Arial" w:cs="Arial"/>
                <w:b w:val="0"/>
                <w:iCs/>
                <w:lang w:eastAsia="en-GB"/>
              </w:rPr>
            </w:pPr>
            <w:r w:rsidRPr="00E14925">
              <w:rPr>
                <w:rFonts w:ascii="Arial" w:hAnsi="Arial" w:cs="Arial"/>
                <w:b w:val="0"/>
                <w:iCs/>
                <w:lang w:eastAsia="en-GB"/>
              </w:rPr>
              <w:t>What is the demographic make-up of people on the MSEFT patient data?</w:t>
            </w:r>
          </w:p>
          <w:p w14:paraId="38A01D15" w14:textId="77777777" w:rsidR="00E14925" w:rsidRPr="00E14925" w:rsidRDefault="00E14925" w:rsidP="00E14925">
            <w:pPr>
              <w:numPr>
                <w:ilvl w:val="0"/>
                <w:numId w:val="12"/>
              </w:numPr>
              <w:rPr>
                <w:rFonts w:ascii="Arial" w:hAnsi="Arial" w:cs="Arial"/>
                <w:b w:val="0"/>
                <w:iCs/>
                <w:lang w:eastAsia="en-GB"/>
              </w:rPr>
            </w:pPr>
            <w:r w:rsidRPr="00E14925">
              <w:rPr>
                <w:rFonts w:ascii="Arial" w:hAnsi="Arial" w:cs="Arial"/>
                <w:b w:val="0"/>
                <w:iCs/>
                <w:lang w:eastAsia="en-GB"/>
              </w:rPr>
              <w:t>How many people on the MSEFT patient data are known to social care? What are their current social needs?</w:t>
            </w:r>
          </w:p>
          <w:p w14:paraId="71888B03" w14:textId="77777777" w:rsidR="00E14925" w:rsidRPr="00E14925" w:rsidRDefault="00E14925" w:rsidP="00E14925">
            <w:pPr>
              <w:numPr>
                <w:ilvl w:val="0"/>
                <w:numId w:val="12"/>
              </w:numPr>
              <w:rPr>
                <w:rFonts w:ascii="Arial" w:hAnsi="Arial" w:cs="Arial"/>
                <w:b w:val="0"/>
                <w:iCs/>
                <w:lang w:eastAsia="en-GB"/>
              </w:rPr>
            </w:pPr>
            <w:r w:rsidRPr="00E14925">
              <w:rPr>
                <w:rFonts w:ascii="Arial" w:hAnsi="Arial" w:cs="Arial"/>
                <w:b w:val="0"/>
                <w:iCs/>
                <w:lang w:eastAsia="en-GB"/>
              </w:rPr>
              <w:t>Are there cohorts or areas more prevalent in the MSEFT patient data?</w:t>
            </w:r>
          </w:p>
          <w:p w14:paraId="1E49F0DF" w14:textId="77777777" w:rsidR="00E14925" w:rsidRPr="00E14925" w:rsidRDefault="00E14925" w:rsidP="00E14925">
            <w:pPr>
              <w:numPr>
                <w:ilvl w:val="0"/>
                <w:numId w:val="12"/>
              </w:numPr>
              <w:rPr>
                <w:rFonts w:ascii="Arial" w:hAnsi="Arial" w:cs="Arial"/>
                <w:b w:val="0"/>
                <w:iCs/>
                <w:lang w:eastAsia="en-GB"/>
              </w:rPr>
            </w:pPr>
            <w:r w:rsidRPr="00E14925">
              <w:rPr>
                <w:rFonts w:ascii="Arial" w:hAnsi="Arial" w:cs="Arial"/>
                <w:b w:val="0"/>
                <w:iCs/>
                <w:lang w:eastAsia="en-GB"/>
              </w:rPr>
              <w:t>Are there variations in patient’s healthcare outcomes by protected characteristics (where the data exists), area deprivation level or vulnerable groups?</w:t>
            </w:r>
          </w:p>
          <w:p w14:paraId="15AA5B61" w14:textId="77777777" w:rsidR="006010FD" w:rsidRDefault="006010FD" w:rsidP="006010FD"/>
        </w:tc>
      </w:tr>
    </w:tbl>
    <w:p w14:paraId="2C109B37" w14:textId="77777777" w:rsidR="006010FD" w:rsidRDefault="006010FD" w:rsidP="006010FD"/>
    <w:p w14:paraId="141F4EEC" w14:textId="77777777" w:rsidR="00594131" w:rsidRDefault="00594131" w:rsidP="006010FD"/>
    <w:p w14:paraId="10236138" w14:textId="77777777" w:rsidR="00594131" w:rsidRDefault="00594131" w:rsidP="006010FD">
      <w:r w:rsidRPr="00B530EC">
        <w:rPr>
          <w:rStyle w:val="Hyperlink"/>
          <w:color w:val="auto"/>
          <w:sz w:val="52"/>
          <w:szCs w:val="24"/>
        </w:rPr>
        <w:t>2 – Information to be shared</w:t>
      </w:r>
    </w:p>
    <w:tbl>
      <w:tblPr>
        <w:tblW w:w="14700" w:type="dxa"/>
        <w:tblLayout w:type="fixed"/>
        <w:tblLook w:val="04A0" w:firstRow="1" w:lastRow="0" w:firstColumn="1" w:lastColumn="0" w:noHBand="0" w:noVBand="1"/>
      </w:tblPr>
      <w:tblGrid>
        <w:gridCol w:w="5540"/>
        <w:gridCol w:w="9160"/>
      </w:tblGrid>
      <w:tr w:rsidR="00706705" w:rsidRPr="002A6B4F" w14:paraId="61295F6F" w14:textId="77777777" w:rsidTr="00623249">
        <w:trPr>
          <w:trHeight w:val="480"/>
        </w:trPr>
        <w:tc>
          <w:tcPr>
            <w:tcW w:w="5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55EA3" w14:textId="77777777" w:rsidR="00706705" w:rsidRPr="002A6B4F" w:rsidRDefault="00706705" w:rsidP="00623249">
            <w:pPr>
              <w:spacing w:after="0" w:line="240" w:lineRule="auto"/>
              <w:rPr>
                <w:rFonts w:eastAsia="Times New Roman" w:cs="Calibri"/>
                <w:b/>
                <w:bCs/>
                <w:color w:val="000000"/>
                <w:sz w:val="36"/>
                <w:szCs w:val="36"/>
                <w:lang w:eastAsia="en-GB"/>
              </w:rPr>
            </w:pPr>
            <w:r w:rsidRPr="002A6B4F">
              <w:rPr>
                <w:rFonts w:eastAsia="Times New Roman" w:cs="Calibri"/>
                <w:b/>
                <w:bCs/>
                <w:color w:val="000000"/>
                <w:sz w:val="36"/>
                <w:szCs w:val="36"/>
                <w:lang w:eastAsia="en-GB"/>
              </w:rPr>
              <w:t>Agency Name</w:t>
            </w:r>
          </w:p>
        </w:tc>
        <w:tc>
          <w:tcPr>
            <w:tcW w:w="9160" w:type="dxa"/>
            <w:tcBorders>
              <w:top w:val="single" w:sz="8" w:space="0" w:color="auto"/>
              <w:left w:val="nil"/>
              <w:bottom w:val="single" w:sz="8" w:space="0" w:color="auto"/>
              <w:right w:val="single" w:sz="8" w:space="0" w:color="auto"/>
            </w:tcBorders>
            <w:shd w:val="clear" w:color="auto" w:fill="auto"/>
            <w:vAlign w:val="center"/>
            <w:hideMark/>
          </w:tcPr>
          <w:p w14:paraId="3E1C5D05" w14:textId="77777777" w:rsidR="00706705" w:rsidRPr="002A6B4F" w:rsidRDefault="00706705" w:rsidP="00623249">
            <w:pPr>
              <w:spacing w:after="0" w:line="240" w:lineRule="auto"/>
              <w:rPr>
                <w:rFonts w:eastAsia="Times New Roman" w:cs="Calibri"/>
                <w:b/>
                <w:bCs/>
                <w:color w:val="000000"/>
                <w:sz w:val="36"/>
                <w:szCs w:val="36"/>
                <w:lang w:eastAsia="en-GB"/>
              </w:rPr>
            </w:pPr>
            <w:r w:rsidRPr="002A6B4F">
              <w:rPr>
                <w:rFonts w:eastAsia="Times New Roman" w:cs="Calibri"/>
                <w:b/>
                <w:bCs/>
                <w:color w:val="000000"/>
                <w:sz w:val="36"/>
                <w:szCs w:val="36"/>
                <w:lang w:eastAsia="en-GB"/>
              </w:rPr>
              <w:t>Data field/description</w:t>
            </w:r>
          </w:p>
        </w:tc>
      </w:tr>
      <w:tr w:rsidR="00706705" w:rsidRPr="002A6B4F" w14:paraId="33B5F02A" w14:textId="77777777" w:rsidTr="00623249">
        <w:trPr>
          <w:trHeight w:val="1044"/>
        </w:trPr>
        <w:tc>
          <w:tcPr>
            <w:tcW w:w="5540" w:type="dxa"/>
            <w:tcBorders>
              <w:top w:val="nil"/>
              <w:left w:val="single" w:sz="8" w:space="0" w:color="auto"/>
              <w:bottom w:val="single" w:sz="8" w:space="0" w:color="auto"/>
              <w:right w:val="single" w:sz="8" w:space="0" w:color="auto"/>
            </w:tcBorders>
            <w:shd w:val="clear" w:color="auto" w:fill="auto"/>
            <w:vAlign w:val="center"/>
            <w:hideMark/>
          </w:tcPr>
          <w:p w14:paraId="0B3EFE45" w14:textId="77777777" w:rsidR="00706705" w:rsidRPr="002A6B4F" w:rsidRDefault="00706705" w:rsidP="00623249">
            <w:pPr>
              <w:spacing w:after="0" w:line="240" w:lineRule="auto"/>
              <w:rPr>
                <w:rFonts w:eastAsia="Times New Roman" w:cs="Calibri"/>
                <w:b/>
                <w:bCs/>
                <w:color w:val="000000"/>
                <w:sz w:val="40"/>
                <w:szCs w:val="40"/>
                <w:lang w:eastAsia="en-GB"/>
              </w:rPr>
            </w:pPr>
            <w:r w:rsidRPr="002A6B4F">
              <w:rPr>
                <w:rFonts w:eastAsia="Times New Roman" w:cs="Calibri"/>
                <w:b/>
                <w:bCs/>
                <w:color w:val="000000"/>
                <w:sz w:val="40"/>
                <w:szCs w:val="40"/>
                <w:lang w:eastAsia="en-GB"/>
              </w:rPr>
              <w:t>Mid and South Essex Hospital Group</w:t>
            </w:r>
            <w:r>
              <w:rPr>
                <w:rFonts w:eastAsia="Times New Roman" w:cs="Calibri"/>
                <w:b/>
                <w:bCs/>
                <w:color w:val="000000"/>
                <w:sz w:val="40"/>
                <w:szCs w:val="40"/>
                <w:lang w:eastAsia="en-GB"/>
              </w:rPr>
              <w:t>: A&amp;E Data</w:t>
            </w:r>
          </w:p>
        </w:tc>
        <w:tc>
          <w:tcPr>
            <w:tcW w:w="9160" w:type="dxa"/>
            <w:tcBorders>
              <w:top w:val="nil"/>
              <w:left w:val="nil"/>
              <w:bottom w:val="single" w:sz="8" w:space="0" w:color="auto"/>
              <w:right w:val="single" w:sz="8" w:space="0" w:color="auto"/>
            </w:tcBorders>
            <w:shd w:val="clear" w:color="auto" w:fill="auto"/>
            <w:vAlign w:val="center"/>
            <w:hideMark/>
          </w:tcPr>
          <w:p w14:paraId="0AAD417C" w14:textId="77777777" w:rsidR="00706705" w:rsidRPr="002A6B4F" w:rsidRDefault="00706705" w:rsidP="00623249">
            <w:pPr>
              <w:spacing w:after="0" w:line="240" w:lineRule="auto"/>
              <w:rPr>
                <w:rFonts w:eastAsia="Times New Roman" w:cs="Calibri"/>
                <w:b/>
                <w:bCs/>
                <w:color w:val="000000"/>
                <w:lang w:eastAsia="en-GB"/>
              </w:rPr>
            </w:pPr>
            <w:r w:rsidRPr="002A6B4F">
              <w:rPr>
                <w:rFonts w:eastAsia="Times New Roman" w:cs="Calibri"/>
                <w:b/>
                <w:bCs/>
                <w:color w:val="000000"/>
                <w:lang w:eastAsia="en-GB"/>
              </w:rPr>
              <w:t> </w:t>
            </w:r>
            <w:r>
              <w:rPr>
                <w:rFonts w:eastAsia="Times New Roman" w:cs="Calibri"/>
                <w:b/>
                <w:bCs/>
                <w:color w:val="000000"/>
                <w:lang w:eastAsia="en-GB"/>
              </w:rPr>
              <w:object w:dxaOrig="1513" w:dyaOrig="986" w14:anchorId="4A67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4" o:title=""/>
                </v:shape>
                <o:OLEObject Type="Embed" ProgID="Excel.Sheet.12" ShapeID="_x0000_i1025" DrawAspect="Icon" ObjectID="_1732531614" r:id="rId15"/>
              </w:object>
            </w:r>
          </w:p>
        </w:tc>
      </w:tr>
      <w:tr w:rsidR="00706705" w:rsidRPr="002A6B4F" w14:paraId="3DD1E403" w14:textId="77777777" w:rsidTr="00623249">
        <w:trPr>
          <w:trHeight w:val="528"/>
        </w:trPr>
        <w:tc>
          <w:tcPr>
            <w:tcW w:w="55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CB44FC" w14:textId="77777777" w:rsidR="00706705" w:rsidRPr="002A6B4F" w:rsidRDefault="00706705" w:rsidP="00623249">
            <w:pPr>
              <w:spacing w:after="0" w:line="240" w:lineRule="auto"/>
              <w:rPr>
                <w:rFonts w:eastAsia="Times New Roman" w:cs="Calibri"/>
                <w:b/>
                <w:bCs/>
                <w:color w:val="000000"/>
                <w:sz w:val="40"/>
                <w:szCs w:val="40"/>
                <w:lang w:eastAsia="en-GB"/>
              </w:rPr>
            </w:pPr>
            <w:r w:rsidRPr="002A6B4F">
              <w:rPr>
                <w:rFonts w:eastAsia="Times New Roman" w:cs="Calibri"/>
                <w:b/>
                <w:bCs/>
                <w:color w:val="000000"/>
                <w:sz w:val="40"/>
                <w:szCs w:val="40"/>
                <w:lang w:eastAsia="en-GB"/>
              </w:rPr>
              <w:t>Mid and South Essex Hospital Group</w:t>
            </w:r>
            <w:r>
              <w:rPr>
                <w:rFonts w:eastAsia="Times New Roman" w:cs="Calibri"/>
                <w:b/>
                <w:bCs/>
                <w:color w:val="000000"/>
                <w:sz w:val="40"/>
                <w:szCs w:val="40"/>
                <w:lang w:eastAsia="en-GB"/>
              </w:rPr>
              <w:t>: Inpatient Data</w:t>
            </w:r>
          </w:p>
        </w:tc>
        <w:tc>
          <w:tcPr>
            <w:tcW w:w="9160" w:type="dxa"/>
            <w:tcBorders>
              <w:top w:val="single" w:sz="8" w:space="0" w:color="auto"/>
              <w:left w:val="nil"/>
              <w:bottom w:val="single" w:sz="4" w:space="0" w:color="auto"/>
              <w:right w:val="single" w:sz="8" w:space="0" w:color="auto"/>
            </w:tcBorders>
            <w:shd w:val="clear" w:color="auto" w:fill="auto"/>
            <w:vAlign w:val="center"/>
            <w:hideMark/>
          </w:tcPr>
          <w:p w14:paraId="42226D8F" w14:textId="77777777" w:rsidR="00706705" w:rsidRPr="002A6B4F" w:rsidRDefault="00706705" w:rsidP="00623249">
            <w:pPr>
              <w:spacing w:after="0" w:line="240" w:lineRule="auto"/>
              <w:rPr>
                <w:rFonts w:eastAsia="Times New Roman" w:cs="Calibri"/>
                <w:b/>
                <w:bCs/>
                <w:color w:val="000000"/>
                <w:lang w:eastAsia="en-GB"/>
              </w:rPr>
            </w:pPr>
            <w:r w:rsidRPr="002A6B4F">
              <w:rPr>
                <w:rFonts w:eastAsia="Times New Roman" w:cs="Calibri"/>
                <w:b/>
                <w:bCs/>
                <w:color w:val="000000"/>
                <w:lang w:eastAsia="en-GB"/>
              </w:rPr>
              <w:t> </w:t>
            </w:r>
            <w:r>
              <w:rPr>
                <w:rFonts w:eastAsia="Times New Roman" w:cs="Calibri"/>
                <w:b/>
                <w:bCs/>
                <w:color w:val="000000"/>
                <w:lang w:eastAsia="en-GB"/>
              </w:rPr>
              <w:object w:dxaOrig="1513" w:dyaOrig="986" w14:anchorId="02AF31DF">
                <v:shape id="_x0000_i1026" type="#_x0000_t75" style="width:75.5pt;height:49.5pt" o:ole="">
                  <v:imagedata r:id="rId16" o:title=""/>
                </v:shape>
                <o:OLEObject Type="Embed" ProgID="Excel.Sheet.12" ShapeID="_x0000_i1026" DrawAspect="Icon" ObjectID="_1732531615" r:id="rId17"/>
              </w:object>
            </w:r>
          </w:p>
        </w:tc>
      </w:tr>
      <w:tr w:rsidR="00706705" w:rsidRPr="002A6B4F" w14:paraId="4F33E844"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3825117F" w14:textId="77777777" w:rsidR="00706705" w:rsidRPr="002A6B4F"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Mid and South Essex Waiting List data (Snapshot)</w:t>
            </w:r>
          </w:p>
        </w:tc>
        <w:bookmarkStart w:id="1" w:name="_MON_1715503211"/>
        <w:bookmarkEnd w:id="1"/>
        <w:tc>
          <w:tcPr>
            <w:tcW w:w="9160" w:type="dxa"/>
            <w:tcBorders>
              <w:top w:val="single" w:sz="4" w:space="0" w:color="auto"/>
              <w:left w:val="nil"/>
              <w:bottom w:val="single" w:sz="4" w:space="0" w:color="auto"/>
              <w:right w:val="single" w:sz="8" w:space="0" w:color="auto"/>
            </w:tcBorders>
            <w:shd w:val="clear" w:color="auto" w:fill="auto"/>
            <w:vAlign w:val="center"/>
          </w:tcPr>
          <w:p w14:paraId="011CF6C7" w14:textId="77777777" w:rsidR="00706705" w:rsidRPr="002A6B4F" w:rsidRDefault="00CD5A51"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13" w:dyaOrig="986" w14:anchorId="1618EA97">
                <v:shape id="_x0000_i1027" type="#_x0000_t75" style="width:75.5pt;height:49.5pt" o:ole="">
                  <v:imagedata r:id="rId18" o:title=""/>
                </v:shape>
                <o:OLEObject Type="Embed" ProgID="Excel.Sheet.12" ShapeID="_x0000_i1027" DrawAspect="Icon" ObjectID="_1732531616" r:id="rId19"/>
              </w:object>
            </w:r>
          </w:p>
        </w:tc>
      </w:tr>
      <w:tr w:rsidR="00706705" w:rsidRPr="002A6B4F" w14:paraId="2B1C2ED4"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1562467C" w14:textId="77777777" w:rsidR="00706705" w:rsidRPr="002A6B4F"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Adult Social Care Registrations</w:t>
            </w:r>
          </w:p>
        </w:tc>
        <w:bookmarkStart w:id="2" w:name="_MON_1697636227"/>
        <w:bookmarkEnd w:id="2"/>
        <w:tc>
          <w:tcPr>
            <w:tcW w:w="9160" w:type="dxa"/>
            <w:tcBorders>
              <w:top w:val="single" w:sz="4" w:space="0" w:color="auto"/>
              <w:left w:val="nil"/>
              <w:bottom w:val="single" w:sz="4" w:space="0" w:color="auto"/>
              <w:right w:val="single" w:sz="8" w:space="0" w:color="auto"/>
            </w:tcBorders>
            <w:shd w:val="clear" w:color="auto" w:fill="auto"/>
            <w:vAlign w:val="center"/>
          </w:tcPr>
          <w:p w14:paraId="7636B073" w14:textId="77777777" w:rsidR="00706705" w:rsidRPr="002A6B4F"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54EC6DA3">
                <v:shape id="_x0000_i1028" type="#_x0000_t75" style="width:76pt;height:49pt" o:ole="">
                  <v:imagedata r:id="rId20" o:title=""/>
                </v:shape>
                <o:OLEObject Type="Embed" ProgID="Excel.Sheet.12" ShapeID="_x0000_i1028" DrawAspect="Icon" ObjectID="_1732531617" r:id="rId21"/>
              </w:object>
            </w:r>
          </w:p>
        </w:tc>
      </w:tr>
      <w:tr w:rsidR="00706705" w:rsidRPr="002A6B4F" w14:paraId="1F91811A" w14:textId="77777777" w:rsidTr="00623249">
        <w:trPr>
          <w:trHeight w:val="528"/>
        </w:trPr>
        <w:tc>
          <w:tcPr>
            <w:tcW w:w="5540" w:type="dxa"/>
            <w:tcBorders>
              <w:top w:val="nil"/>
              <w:left w:val="single" w:sz="8" w:space="0" w:color="auto"/>
              <w:bottom w:val="single" w:sz="4" w:space="0" w:color="auto"/>
              <w:right w:val="single" w:sz="8" w:space="0" w:color="auto"/>
            </w:tcBorders>
            <w:shd w:val="clear" w:color="auto" w:fill="auto"/>
            <w:vAlign w:val="center"/>
          </w:tcPr>
          <w:p w14:paraId="733D4903" w14:textId="77777777" w:rsidR="00706705" w:rsidRPr="002A6B4F"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lastRenderedPageBreak/>
              <w:t>Essex County Council: Adult Social Care Demographics</w:t>
            </w:r>
          </w:p>
        </w:tc>
        <w:bookmarkStart w:id="3" w:name="_MON_1715156160"/>
        <w:bookmarkEnd w:id="3"/>
        <w:tc>
          <w:tcPr>
            <w:tcW w:w="9160" w:type="dxa"/>
            <w:tcBorders>
              <w:top w:val="nil"/>
              <w:left w:val="nil"/>
              <w:bottom w:val="single" w:sz="4" w:space="0" w:color="auto"/>
              <w:right w:val="single" w:sz="8" w:space="0" w:color="auto"/>
            </w:tcBorders>
            <w:shd w:val="clear" w:color="auto" w:fill="auto"/>
            <w:vAlign w:val="center"/>
          </w:tcPr>
          <w:p w14:paraId="1126FBAB" w14:textId="77777777" w:rsidR="00706705" w:rsidRPr="002A6B4F"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0D36DB56">
                <v:shape id="_x0000_i1029" type="#_x0000_t75" style="width:76pt;height:49.5pt" o:ole="">
                  <v:imagedata r:id="rId22" o:title=""/>
                </v:shape>
                <o:OLEObject Type="Embed" ProgID="Excel.Sheet.12" ShapeID="_x0000_i1029" DrawAspect="Icon" ObjectID="_1732531618" r:id="rId23"/>
              </w:object>
            </w:r>
          </w:p>
        </w:tc>
      </w:tr>
      <w:tr w:rsidR="00706705" w:rsidRPr="002A6B4F" w14:paraId="30310C89" w14:textId="77777777" w:rsidTr="00623249">
        <w:trPr>
          <w:trHeight w:val="528"/>
        </w:trPr>
        <w:tc>
          <w:tcPr>
            <w:tcW w:w="5540" w:type="dxa"/>
            <w:tcBorders>
              <w:top w:val="nil"/>
              <w:left w:val="single" w:sz="8" w:space="0" w:color="auto"/>
              <w:bottom w:val="single" w:sz="4" w:space="0" w:color="auto"/>
              <w:right w:val="single" w:sz="8" w:space="0" w:color="auto"/>
            </w:tcBorders>
            <w:shd w:val="clear" w:color="auto" w:fill="auto"/>
            <w:vAlign w:val="center"/>
          </w:tcPr>
          <w:p w14:paraId="2C127BD8" w14:textId="77777777" w:rsidR="00706705"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Adult Social Care Assessments</w:t>
            </w:r>
          </w:p>
        </w:tc>
        <w:tc>
          <w:tcPr>
            <w:tcW w:w="9160" w:type="dxa"/>
            <w:tcBorders>
              <w:top w:val="nil"/>
              <w:left w:val="nil"/>
              <w:bottom w:val="single" w:sz="4" w:space="0" w:color="auto"/>
              <w:right w:val="single" w:sz="8" w:space="0" w:color="auto"/>
            </w:tcBorders>
            <w:shd w:val="clear" w:color="auto" w:fill="auto"/>
            <w:vAlign w:val="center"/>
          </w:tcPr>
          <w:p w14:paraId="5C25C630" w14:textId="77777777" w:rsidR="00706705"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0C8932E9">
                <v:shape id="_x0000_i1030" type="#_x0000_t75" style="width:76pt;height:49.5pt" o:ole="">
                  <v:imagedata r:id="rId24" o:title=""/>
                </v:shape>
                <o:OLEObject Type="Embed" ProgID="Excel.Sheet.12" ShapeID="_x0000_i1030" DrawAspect="Icon" ObjectID="_1732531619" r:id="rId25"/>
              </w:object>
            </w:r>
          </w:p>
        </w:tc>
      </w:tr>
      <w:tr w:rsidR="00706705" w:rsidRPr="002A6B4F" w14:paraId="2303161A" w14:textId="77777777" w:rsidTr="00623249">
        <w:trPr>
          <w:trHeight w:val="528"/>
        </w:trPr>
        <w:tc>
          <w:tcPr>
            <w:tcW w:w="5540" w:type="dxa"/>
            <w:tcBorders>
              <w:top w:val="nil"/>
              <w:left w:val="single" w:sz="8" w:space="0" w:color="auto"/>
              <w:bottom w:val="single" w:sz="4" w:space="0" w:color="auto"/>
              <w:right w:val="single" w:sz="8" w:space="0" w:color="auto"/>
            </w:tcBorders>
            <w:shd w:val="clear" w:color="auto" w:fill="auto"/>
            <w:vAlign w:val="center"/>
          </w:tcPr>
          <w:p w14:paraId="64BAA93A" w14:textId="77777777" w:rsidR="00706705"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Open Adult Social Care Reviews</w:t>
            </w:r>
          </w:p>
        </w:tc>
        <w:tc>
          <w:tcPr>
            <w:tcW w:w="9160" w:type="dxa"/>
            <w:tcBorders>
              <w:top w:val="nil"/>
              <w:left w:val="nil"/>
              <w:bottom w:val="single" w:sz="4" w:space="0" w:color="auto"/>
              <w:right w:val="single" w:sz="8" w:space="0" w:color="auto"/>
            </w:tcBorders>
            <w:shd w:val="clear" w:color="auto" w:fill="auto"/>
            <w:vAlign w:val="center"/>
          </w:tcPr>
          <w:p w14:paraId="67FAFE85" w14:textId="77777777" w:rsidR="00706705"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fldChar w:fldCharType="begin"/>
            </w:r>
            <w:r>
              <w:rPr>
                <w:rFonts w:eastAsia="Times New Roman" w:cs="Calibri"/>
                <w:b/>
                <w:bCs/>
                <w:color w:val="000000"/>
                <w:lang w:eastAsia="en-GB"/>
              </w:rPr>
              <w:instrText xml:space="preserve"> LINK Excel.Sheet.12 "\\\\chesvfs15\\teamshare\\Strategy, Insight and Engagement\\5. Data and Analytics\\ecda\\12. Projects\\MSEFT Waiting Lists\\2 Data\\Open Reviews.xlsx" "" \a \p \f 0 </w:instrText>
            </w:r>
            <w:r>
              <w:rPr>
                <w:rFonts w:eastAsia="Times New Roman" w:cs="Calibri"/>
                <w:b/>
                <w:bCs/>
                <w:color w:val="000000"/>
                <w:lang w:eastAsia="en-GB"/>
              </w:rPr>
              <w:fldChar w:fldCharType="separate"/>
            </w:r>
            <w:r w:rsidR="00F35A09">
              <w:rPr>
                <w:rFonts w:eastAsia="Times New Roman" w:cs="Calibri"/>
                <w:b/>
                <w:bCs/>
                <w:color w:val="000000"/>
                <w:lang w:eastAsia="en-GB"/>
              </w:rPr>
              <w:object w:dxaOrig="1287" w:dyaOrig="837" w14:anchorId="0672BEC2">
                <v:shape id="_x0000_i1031" type="#_x0000_t75" style="width:75.5pt;height:49.5pt" o:ole="">
                  <v:imagedata r:id="rId26" o:title=""/>
                </v:shape>
              </w:object>
            </w:r>
            <w:r>
              <w:rPr>
                <w:rFonts w:eastAsia="Times New Roman" w:cs="Calibri"/>
                <w:b/>
                <w:bCs/>
                <w:color w:val="000000"/>
                <w:lang w:eastAsia="en-GB"/>
              </w:rPr>
              <w:fldChar w:fldCharType="end"/>
            </w:r>
            <w:r>
              <w:rPr>
                <w:rFonts w:eastAsia="Times New Roman" w:cs="Calibri"/>
                <w:b/>
                <w:bCs/>
                <w:color w:val="000000"/>
                <w:lang w:eastAsia="en-GB"/>
              </w:rPr>
              <w:t xml:space="preserve"> </w:t>
            </w:r>
          </w:p>
        </w:tc>
      </w:tr>
      <w:tr w:rsidR="00706705" w:rsidRPr="002A6B4F" w14:paraId="50DCF7E0"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4873987F" w14:textId="77777777" w:rsidR="00706705" w:rsidRPr="002A6B4F"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Adult Social Care Services</w:t>
            </w:r>
          </w:p>
        </w:tc>
        <w:bookmarkStart w:id="4" w:name="_MON_1699444612"/>
        <w:bookmarkEnd w:id="4"/>
        <w:tc>
          <w:tcPr>
            <w:tcW w:w="9160" w:type="dxa"/>
            <w:tcBorders>
              <w:top w:val="single" w:sz="4" w:space="0" w:color="auto"/>
              <w:left w:val="nil"/>
              <w:bottom w:val="single" w:sz="4" w:space="0" w:color="auto"/>
              <w:right w:val="single" w:sz="8" w:space="0" w:color="auto"/>
            </w:tcBorders>
            <w:shd w:val="clear" w:color="auto" w:fill="auto"/>
            <w:vAlign w:val="center"/>
          </w:tcPr>
          <w:p w14:paraId="15AE0AB1" w14:textId="77777777" w:rsidR="00706705" w:rsidRPr="002A6B4F"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7B0CCF19">
                <v:shape id="_x0000_i1032" type="#_x0000_t75" style="width:76pt;height:49pt" o:ole="">
                  <v:imagedata r:id="rId27" o:title=""/>
                </v:shape>
                <o:OLEObject Type="Embed" ProgID="Excel.Sheet.12" ShapeID="_x0000_i1032" DrawAspect="Icon" ObjectID="_1732531620" r:id="rId28"/>
              </w:object>
            </w:r>
            <w:bookmarkStart w:id="5" w:name="_MON_1701613059"/>
            <w:bookmarkEnd w:id="5"/>
            <w:r>
              <w:rPr>
                <w:rFonts w:eastAsia="Times New Roman" w:cs="Calibri"/>
                <w:b/>
                <w:bCs/>
                <w:color w:val="000000"/>
                <w:lang w:eastAsia="en-GB"/>
              </w:rPr>
              <w:object w:dxaOrig="1520" w:dyaOrig="987" w14:anchorId="3571DBE2">
                <v:shape id="_x0000_i1033" type="#_x0000_t75" style="width:76pt;height:49.5pt" o:ole="">
                  <v:imagedata r:id="rId29" o:title=""/>
                </v:shape>
                <o:OLEObject Type="Embed" ProgID="Excel.Sheet.12" ShapeID="_x0000_i1033" DrawAspect="Icon" ObjectID="_1732531621" r:id="rId30"/>
              </w:object>
            </w:r>
          </w:p>
        </w:tc>
      </w:tr>
      <w:tr w:rsidR="00706705" w:rsidRPr="002A6B4F" w14:paraId="43FF7A86"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481E2278" w14:textId="77777777" w:rsidR="00706705" w:rsidRPr="002A6B4F"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 xml:space="preserve">Essex County Council: Geographic master file (and </w:t>
            </w:r>
            <w:proofErr w:type="gramStart"/>
            <w:r>
              <w:rPr>
                <w:rFonts w:eastAsia="Times New Roman" w:cs="Calibri"/>
                <w:b/>
                <w:bCs/>
                <w:color w:val="000000"/>
                <w:sz w:val="40"/>
                <w:szCs w:val="40"/>
                <w:lang w:eastAsia="en-GB"/>
              </w:rPr>
              <w:t>open source</w:t>
            </w:r>
            <w:proofErr w:type="gramEnd"/>
            <w:r>
              <w:rPr>
                <w:rFonts w:eastAsia="Times New Roman" w:cs="Calibri"/>
                <w:b/>
                <w:bCs/>
                <w:color w:val="000000"/>
                <w:sz w:val="40"/>
                <w:szCs w:val="40"/>
                <w:lang w:eastAsia="en-GB"/>
              </w:rPr>
              <w:t xml:space="preserve"> data)</w:t>
            </w:r>
          </w:p>
        </w:tc>
        <w:bookmarkStart w:id="6" w:name="_MON_1699443800"/>
        <w:bookmarkEnd w:id="6"/>
        <w:tc>
          <w:tcPr>
            <w:tcW w:w="9160" w:type="dxa"/>
            <w:tcBorders>
              <w:top w:val="single" w:sz="4" w:space="0" w:color="auto"/>
              <w:left w:val="nil"/>
              <w:bottom w:val="single" w:sz="4" w:space="0" w:color="auto"/>
              <w:right w:val="single" w:sz="8" w:space="0" w:color="auto"/>
            </w:tcBorders>
            <w:shd w:val="clear" w:color="auto" w:fill="auto"/>
            <w:vAlign w:val="center"/>
          </w:tcPr>
          <w:p w14:paraId="471D241E" w14:textId="77777777" w:rsidR="00706705" w:rsidRPr="002A6B4F"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6C0D32DC">
                <v:shape id="_x0000_i1034" type="#_x0000_t75" style="width:76pt;height:49pt" o:ole="">
                  <v:imagedata r:id="rId31" o:title=""/>
                </v:shape>
                <o:OLEObject Type="Embed" ProgID="Excel.Sheet.12" ShapeID="_x0000_i1034" DrawAspect="Icon" ObjectID="_1732531622" r:id="rId32"/>
              </w:object>
            </w:r>
          </w:p>
        </w:tc>
      </w:tr>
      <w:tr w:rsidR="00706705" w:rsidRPr="002A6B4F" w14:paraId="11BEA89B"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3B0C4889" w14:textId="77777777" w:rsidR="00706705"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Adult Social Care – Health Conditions</w:t>
            </w:r>
          </w:p>
        </w:tc>
        <w:bookmarkStart w:id="7" w:name="_MON_1701612999"/>
        <w:bookmarkEnd w:id="7"/>
        <w:tc>
          <w:tcPr>
            <w:tcW w:w="9160" w:type="dxa"/>
            <w:tcBorders>
              <w:top w:val="single" w:sz="4" w:space="0" w:color="auto"/>
              <w:left w:val="nil"/>
              <w:bottom w:val="single" w:sz="4" w:space="0" w:color="auto"/>
              <w:right w:val="single" w:sz="8" w:space="0" w:color="auto"/>
            </w:tcBorders>
            <w:shd w:val="clear" w:color="auto" w:fill="auto"/>
            <w:vAlign w:val="center"/>
          </w:tcPr>
          <w:p w14:paraId="61479226" w14:textId="77777777" w:rsidR="00706705"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5164FFE2">
                <v:shape id="_x0000_i1035" type="#_x0000_t75" style="width:76pt;height:49.5pt" o:ole="">
                  <v:imagedata r:id="rId33" o:title=""/>
                </v:shape>
                <o:OLEObject Type="Embed" ProgID="Excel.Sheet.12" ShapeID="_x0000_i1035" DrawAspect="Icon" ObjectID="_1732531623" r:id="rId34"/>
              </w:object>
            </w:r>
          </w:p>
        </w:tc>
      </w:tr>
      <w:tr w:rsidR="00706705" w:rsidRPr="002A6B4F" w14:paraId="6939531F"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5A56EBE4" w14:textId="77777777" w:rsidR="00706705"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Sensory Impairment Registrations</w:t>
            </w:r>
          </w:p>
        </w:tc>
        <w:tc>
          <w:tcPr>
            <w:tcW w:w="9160" w:type="dxa"/>
            <w:tcBorders>
              <w:top w:val="single" w:sz="4" w:space="0" w:color="auto"/>
              <w:left w:val="nil"/>
              <w:bottom w:val="single" w:sz="4" w:space="0" w:color="auto"/>
              <w:right w:val="single" w:sz="8" w:space="0" w:color="auto"/>
            </w:tcBorders>
            <w:shd w:val="clear" w:color="auto" w:fill="auto"/>
            <w:vAlign w:val="center"/>
          </w:tcPr>
          <w:p w14:paraId="53A482C3" w14:textId="77777777" w:rsidR="00706705"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object w:dxaOrig="1520" w:dyaOrig="987" w14:anchorId="2AB9528D">
                <v:shape id="_x0000_i1036" type="#_x0000_t75" style="width:76.5pt;height:49.5pt" o:ole="">
                  <v:imagedata r:id="rId35" o:title=""/>
                </v:shape>
                <o:OLEObject Type="Embed" ProgID="Excel.Sheet.12" ShapeID="_x0000_i1036" DrawAspect="Icon" ObjectID="_1732531624" r:id="rId36"/>
              </w:object>
            </w:r>
          </w:p>
        </w:tc>
      </w:tr>
      <w:tr w:rsidR="00706705" w:rsidRPr="002A6B4F" w14:paraId="1F409C70" w14:textId="77777777" w:rsidTr="00623249">
        <w:trPr>
          <w:trHeight w:val="528"/>
        </w:trPr>
        <w:tc>
          <w:tcPr>
            <w:tcW w:w="5540" w:type="dxa"/>
            <w:tcBorders>
              <w:top w:val="single" w:sz="4" w:space="0" w:color="auto"/>
              <w:left w:val="single" w:sz="8" w:space="0" w:color="auto"/>
              <w:bottom w:val="single" w:sz="4" w:space="0" w:color="auto"/>
              <w:right w:val="single" w:sz="8" w:space="0" w:color="auto"/>
            </w:tcBorders>
            <w:shd w:val="clear" w:color="auto" w:fill="auto"/>
            <w:vAlign w:val="center"/>
          </w:tcPr>
          <w:p w14:paraId="5736B5C2" w14:textId="77777777" w:rsidR="00706705" w:rsidRDefault="00706705" w:rsidP="00623249">
            <w:pPr>
              <w:spacing w:after="0" w:line="240" w:lineRule="auto"/>
              <w:rPr>
                <w:rFonts w:eastAsia="Times New Roman" w:cs="Calibri"/>
                <w:b/>
                <w:bCs/>
                <w:color w:val="000000"/>
                <w:sz w:val="40"/>
                <w:szCs w:val="40"/>
                <w:lang w:eastAsia="en-GB"/>
              </w:rPr>
            </w:pPr>
            <w:r>
              <w:rPr>
                <w:rFonts w:eastAsia="Times New Roman" w:cs="Calibri"/>
                <w:b/>
                <w:bCs/>
                <w:color w:val="000000"/>
                <w:sz w:val="40"/>
                <w:szCs w:val="40"/>
                <w:lang w:eastAsia="en-GB"/>
              </w:rPr>
              <w:t>Essex County Council: Languages spoken</w:t>
            </w:r>
          </w:p>
        </w:tc>
        <w:tc>
          <w:tcPr>
            <w:tcW w:w="9160" w:type="dxa"/>
            <w:tcBorders>
              <w:top w:val="single" w:sz="4" w:space="0" w:color="auto"/>
              <w:left w:val="nil"/>
              <w:bottom w:val="single" w:sz="4" w:space="0" w:color="auto"/>
              <w:right w:val="single" w:sz="8" w:space="0" w:color="auto"/>
            </w:tcBorders>
            <w:shd w:val="clear" w:color="auto" w:fill="auto"/>
            <w:vAlign w:val="center"/>
          </w:tcPr>
          <w:p w14:paraId="68E7CA16" w14:textId="77777777" w:rsidR="00706705" w:rsidRDefault="00706705" w:rsidP="00623249">
            <w:pPr>
              <w:spacing w:after="0" w:line="240" w:lineRule="auto"/>
              <w:rPr>
                <w:rFonts w:eastAsia="Times New Roman" w:cs="Calibri"/>
                <w:b/>
                <w:bCs/>
                <w:color w:val="000000"/>
                <w:lang w:eastAsia="en-GB"/>
              </w:rPr>
            </w:pPr>
            <w:r>
              <w:rPr>
                <w:rFonts w:eastAsia="Times New Roman" w:cs="Calibri"/>
                <w:b/>
                <w:bCs/>
                <w:color w:val="000000"/>
                <w:lang w:eastAsia="en-GB"/>
              </w:rPr>
              <w:fldChar w:fldCharType="begin"/>
            </w:r>
            <w:r>
              <w:rPr>
                <w:rFonts w:eastAsia="Times New Roman" w:cs="Calibri"/>
                <w:b/>
                <w:bCs/>
                <w:color w:val="000000"/>
                <w:lang w:eastAsia="en-GB"/>
              </w:rPr>
              <w:instrText xml:space="preserve"> LINK Excel.Sheet.12 "\\\\chesvfs15\\teamshare\\Strategy, Insight and Engagement\\5. Data and Analytics\\ecda\\12. Projects\\MSEFT Waiting Lists\\2 Data\\Languages Spoken.xlsx" "" \a \p \f 0 </w:instrText>
            </w:r>
            <w:r>
              <w:rPr>
                <w:rFonts w:eastAsia="Times New Roman" w:cs="Calibri"/>
                <w:b/>
                <w:bCs/>
                <w:color w:val="000000"/>
                <w:lang w:eastAsia="en-GB"/>
              </w:rPr>
              <w:fldChar w:fldCharType="separate"/>
            </w:r>
            <w:r w:rsidR="00F35A09">
              <w:rPr>
                <w:rFonts w:eastAsia="Times New Roman" w:cs="Calibri"/>
                <w:b/>
                <w:bCs/>
                <w:color w:val="000000"/>
                <w:lang w:eastAsia="en-GB"/>
              </w:rPr>
              <w:object w:dxaOrig="1512" w:dyaOrig="984" w14:anchorId="22A0AFB6">
                <v:shape id="_x0000_i1037" type="#_x0000_t75" style="width:76pt;height:49.5pt" o:ole="">
                  <v:imagedata r:id="rId37" o:title=""/>
                </v:shape>
              </w:object>
            </w:r>
            <w:r>
              <w:rPr>
                <w:rFonts w:eastAsia="Times New Roman" w:cs="Calibri"/>
                <w:b/>
                <w:bCs/>
                <w:color w:val="000000"/>
                <w:lang w:eastAsia="en-GB"/>
              </w:rPr>
              <w:fldChar w:fldCharType="end"/>
            </w:r>
          </w:p>
        </w:tc>
      </w:tr>
    </w:tbl>
    <w:p w14:paraId="0CBE447D" w14:textId="77777777" w:rsidR="006C0939" w:rsidRPr="003D1BCC" w:rsidRDefault="006C0939" w:rsidP="003D1BCC">
      <w:pPr>
        <w:pStyle w:val="Heading1"/>
        <w:rPr>
          <w:sz w:val="52"/>
          <w:szCs w:val="24"/>
        </w:rPr>
      </w:pPr>
    </w:p>
    <w:p w14:paraId="7A56340B" w14:textId="77777777" w:rsidR="006C0939" w:rsidRDefault="006C0939" w:rsidP="006C0939"/>
    <w:p w14:paraId="58177285" w14:textId="77777777"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6914125" w14:textId="77777777"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6FBF9881" w14:textId="77777777" w:rsidTr="00967E65">
        <w:tc>
          <w:tcPr>
            <w:tcW w:w="4106" w:type="dxa"/>
            <w:shd w:val="clear" w:color="auto" w:fill="DBE5F1" w:themeFill="accent1" w:themeFillTint="33"/>
          </w:tcPr>
          <w:p w14:paraId="5D7CE056"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1AB7306A"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00C91EF0" w14:textId="77777777"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3EB49B27"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31B10954" w14:textId="77777777"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proofErr w:type="gramStart"/>
            <w:r w:rsidR="006B4E04" w:rsidRPr="006B4E04">
              <w:rPr>
                <w:rFonts w:ascii="Arial" w:hAnsi="Arial" w:cs="Arial"/>
                <w:szCs w:val="20"/>
              </w:rPr>
              <w:t>if</w:t>
            </w:r>
            <w:proofErr w:type="gramEnd"/>
            <w:r w:rsidR="006B4E04" w:rsidRPr="006B4E04">
              <w:rPr>
                <w:rFonts w:ascii="Arial" w:hAnsi="Arial" w:cs="Arial"/>
                <w:szCs w:val="20"/>
              </w:rPr>
              <w:t xml:space="preserve"> applicable </w:t>
            </w:r>
            <w:r w:rsidRPr="006B4E04">
              <w:rPr>
                <w:rFonts w:ascii="Arial" w:hAnsi="Arial" w:cs="Arial"/>
                <w:szCs w:val="20"/>
              </w:rPr>
              <w:t>e.g. community safety)</w:t>
            </w:r>
          </w:p>
        </w:tc>
      </w:tr>
      <w:tr w:rsidR="001045DA" w:rsidRPr="00D1534C" w14:paraId="55117FD1" w14:textId="77777777" w:rsidTr="00301404">
        <w:trPr>
          <w:trHeight w:val="502"/>
        </w:trPr>
        <w:tc>
          <w:tcPr>
            <w:tcW w:w="4106" w:type="dxa"/>
          </w:tcPr>
          <w:p w14:paraId="244A8786" w14:textId="77777777"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w:t>
            </w:r>
          </w:p>
        </w:tc>
        <w:tc>
          <w:tcPr>
            <w:tcW w:w="5245" w:type="dxa"/>
          </w:tcPr>
          <w:p w14:paraId="5A3DE07E" w14:textId="77777777"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(if appropriate):</w:t>
            </w:r>
          </w:p>
        </w:tc>
        <w:tc>
          <w:tcPr>
            <w:tcW w:w="4823" w:type="dxa"/>
          </w:tcPr>
          <w:p w14:paraId="12DA2030" w14:textId="77777777"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w:t>
            </w:r>
          </w:p>
        </w:tc>
      </w:tr>
      <w:tr w:rsidR="001045DA" w:rsidRPr="00D1534C" w14:paraId="02121F78" w14:textId="77777777" w:rsidTr="00301404">
        <w:trPr>
          <w:trHeight w:val="178"/>
        </w:trPr>
        <w:tc>
          <w:tcPr>
            <w:tcW w:w="4106" w:type="dxa"/>
          </w:tcPr>
          <w:p w14:paraId="1B615F7A" w14:textId="77777777" w:rsidR="001045DA" w:rsidRPr="00F76975" w:rsidRDefault="00F35A09"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706705">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01988A0A" w14:textId="77777777" w:rsidR="001045DA" w:rsidRPr="00EC0753" w:rsidRDefault="00706705"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53F45662"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5FA2C2A5"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3CB6E6A0" w14:textId="77777777" w:rsidTr="00301404">
        <w:trPr>
          <w:trHeight w:val="214"/>
        </w:trPr>
        <w:tc>
          <w:tcPr>
            <w:tcW w:w="4106" w:type="dxa"/>
          </w:tcPr>
          <w:p w14:paraId="0C4DE4D0" w14:textId="77777777" w:rsidR="001045DA" w:rsidRPr="00F76975" w:rsidRDefault="00F35A09"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34FA51B"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17DC75A" w14:textId="77777777" w:rsidR="001045DA" w:rsidRPr="00EC0753" w:rsidRDefault="00706705"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1155AE63"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F0FD04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0C95BC61" w14:textId="77777777" w:rsidTr="00301404">
        <w:trPr>
          <w:trHeight w:val="122"/>
        </w:trPr>
        <w:tc>
          <w:tcPr>
            <w:tcW w:w="4106" w:type="dxa"/>
          </w:tcPr>
          <w:p w14:paraId="4FBA5AFF" w14:textId="77777777" w:rsidR="001045DA" w:rsidRPr="00F76975" w:rsidRDefault="00F35A09"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3B41BE6E"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64335AF9" w14:textId="77777777" w:rsidR="001045DA" w:rsidRPr="00EA0CB5" w:rsidRDefault="001045DA" w:rsidP="00BB0EDF">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2135FA92"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EDA6D09"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28372D" w:rsidRPr="00EC0753" w14:paraId="7FD3F67C" w14:textId="77777777" w:rsidTr="0028372D">
        <w:trPr>
          <w:trHeight w:val="122"/>
        </w:trPr>
        <w:tc>
          <w:tcPr>
            <w:tcW w:w="4106" w:type="dxa"/>
          </w:tcPr>
          <w:p w14:paraId="67687B00" w14:textId="77777777" w:rsidR="0028372D" w:rsidRPr="00F76975" w:rsidRDefault="00F35A09" w:rsidP="00E3122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97533370"/>
                <w:placeholder>
                  <w:docPart w:val="AE0E5F6B08C64CC9BC3C946F3788397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E439DD2" w14:textId="77777777" w:rsidR="0028372D" w:rsidRPr="00F76975" w:rsidRDefault="0028372D" w:rsidP="00E31225">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34584236"/>
              <w:placeholder>
                <w:docPart w:val="ABF072676C90446EB4ACD1B797936152"/>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30A4D90" w14:textId="77777777" w:rsidR="0028372D" w:rsidRPr="00EA0CB5" w:rsidRDefault="0028372D" w:rsidP="00E31225">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6D4E8A11" w14:textId="77777777" w:rsidR="0028372D" w:rsidRPr="00F76975" w:rsidRDefault="0028372D" w:rsidP="00E3122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331886304"/>
            <w:placeholder>
              <w:docPart w:val="4D5CBFC033C845978BF451C50B0DCDDB"/>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791398A5" w14:textId="77777777" w:rsidR="0028372D" w:rsidRPr="00EC0753" w:rsidRDefault="0028372D" w:rsidP="00E31225">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01A3FFB1" w14:textId="77777777" w:rsidR="003B17AA" w:rsidRDefault="003B17AA" w:rsidP="004209F2"/>
    <w:p w14:paraId="0B94DA88" w14:textId="77777777"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03ED72E8" w14:textId="77777777" w:rsidTr="003D2D74">
        <w:tc>
          <w:tcPr>
            <w:tcW w:w="13948" w:type="dxa"/>
          </w:tcPr>
          <w:p w14:paraId="689053D8" w14:textId="77777777" w:rsidR="003D2D74" w:rsidRPr="00387ED9" w:rsidRDefault="00387ED9" w:rsidP="00387ED9">
            <w:pPr>
              <w:autoSpaceDE w:val="0"/>
              <w:autoSpaceDN w:val="0"/>
              <w:adjustRightInd w:val="0"/>
              <w:jc w:val="both"/>
              <w:rPr>
                <w:rFonts w:ascii="Arial" w:hAnsi="Arial" w:cs="Arial"/>
                <w:b w:val="0"/>
                <w:bCs/>
                <w:iCs/>
              </w:rPr>
            </w:pPr>
            <w:r w:rsidRPr="00387ED9">
              <w:rPr>
                <w:rFonts w:ascii="Arial" w:hAnsi="Arial" w:cs="Arial"/>
                <w:b w:val="0"/>
                <w:bCs/>
                <w:iCs/>
              </w:rPr>
              <w:t>Vulnerable Peoples Act</w:t>
            </w:r>
          </w:p>
        </w:tc>
      </w:tr>
      <w:tr w:rsidR="003D2D74" w14:paraId="76714F3E" w14:textId="77777777" w:rsidTr="003D2D74">
        <w:tc>
          <w:tcPr>
            <w:tcW w:w="13948" w:type="dxa"/>
          </w:tcPr>
          <w:p w14:paraId="475DD997" w14:textId="77777777" w:rsidR="003D2D74" w:rsidRPr="00387ED9" w:rsidRDefault="00387ED9" w:rsidP="00387ED9">
            <w:pPr>
              <w:autoSpaceDE w:val="0"/>
              <w:autoSpaceDN w:val="0"/>
              <w:adjustRightInd w:val="0"/>
              <w:jc w:val="both"/>
              <w:rPr>
                <w:rFonts w:ascii="Arial" w:hAnsi="Arial" w:cs="Arial"/>
                <w:b w:val="0"/>
                <w:bCs/>
                <w:iCs/>
              </w:rPr>
            </w:pPr>
            <w:proofErr w:type="spellStart"/>
            <w:r w:rsidRPr="00387ED9">
              <w:rPr>
                <w:rFonts w:ascii="Arial" w:hAnsi="Arial" w:cs="Arial"/>
                <w:b w:val="0"/>
                <w:bCs/>
                <w:iCs/>
              </w:rPr>
              <w:t>Childrens</w:t>
            </w:r>
            <w:proofErr w:type="spellEnd"/>
            <w:r w:rsidRPr="00387ED9">
              <w:rPr>
                <w:rFonts w:ascii="Arial" w:hAnsi="Arial" w:cs="Arial"/>
                <w:b w:val="0"/>
                <w:bCs/>
                <w:iCs/>
              </w:rPr>
              <w:t xml:space="preserve"> Act 1989/2004</w:t>
            </w:r>
          </w:p>
        </w:tc>
      </w:tr>
      <w:tr w:rsidR="003D2D74" w14:paraId="56CA0E49" w14:textId="77777777" w:rsidTr="003D2D74">
        <w:tc>
          <w:tcPr>
            <w:tcW w:w="13948" w:type="dxa"/>
          </w:tcPr>
          <w:p w14:paraId="73F9F21C" w14:textId="77777777" w:rsidR="003D2D74" w:rsidRPr="00387ED9" w:rsidRDefault="00387ED9" w:rsidP="00387ED9">
            <w:pPr>
              <w:autoSpaceDE w:val="0"/>
              <w:autoSpaceDN w:val="0"/>
              <w:adjustRightInd w:val="0"/>
              <w:jc w:val="both"/>
              <w:rPr>
                <w:rFonts w:ascii="Arial" w:hAnsi="Arial" w:cs="Arial"/>
                <w:b w:val="0"/>
                <w:bCs/>
                <w:iCs/>
              </w:rPr>
            </w:pPr>
            <w:r w:rsidRPr="00387ED9">
              <w:rPr>
                <w:rFonts w:ascii="Arial" w:hAnsi="Arial" w:cs="Arial"/>
                <w:b w:val="0"/>
                <w:bCs/>
                <w:iCs/>
              </w:rPr>
              <w:t>Human Rights Act 1998</w:t>
            </w:r>
          </w:p>
        </w:tc>
      </w:tr>
      <w:tr w:rsidR="003D2D74" w14:paraId="4164D0AD" w14:textId="77777777" w:rsidTr="003D2D74">
        <w:tc>
          <w:tcPr>
            <w:tcW w:w="13948" w:type="dxa"/>
          </w:tcPr>
          <w:p w14:paraId="2092F8F0" w14:textId="77777777" w:rsidR="003D2D74" w:rsidRPr="00387ED9" w:rsidRDefault="00387ED9" w:rsidP="00387ED9">
            <w:pPr>
              <w:autoSpaceDE w:val="0"/>
              <w:autoSpaceDN w:val="0"/>
              <w:adjustRightInd w:val="0"/>
              <w:jc w:val="both"/>
              <w:rPr>
                <w:rFonts w:ascii="Arial" w:hAnsi="Arial" w:cs="Arial"/>
                <w:b w:val="0"/>
                <w:bCs/>
                <w:iCs/>
              </w:rPr>
            </w:pPr>
            <w:r w:rsidRPr="00387ED9">
              <w:rPr>
                <w:rFonts w:ascii="Arial" w:hAnsi="Arial" w:cs="Arial"/>
                <w:b w:val="0"/>
                <w:bCs/>
                <w:iCs/>
              </w:rPr>
              <w:t>Care Act 2014</w:t>
            </w:r>
          </w:p>
        </w:tc>
      </w:tr>
      <w:tr w:rsidR="003D2D74" w14:paraId="2DEE3FE8" w14:textId="77777777" w:rsidTr="003D2D74">
        <w:tc>
          <w:tcPr>
            <w:tcW w:w="13948" w:type="dxa"/>
          </w:tcPr>
          <w:p w14:paraId="53A64D3F" w14:textId="77777777" w:rsidR="003D2D74" w:rsidRPr="00387ED9" w:rsidRDefault="00387ED9" w:rsidP="00387ED9">
            <w:pPr>
              <w:autoSpaceDE w:val="0"/>
              <w:autoSpaceDN w:val="0"/>
              <w:adjustRightInd w:val="0"/>
              <w:jc w:val="both"/>
              <w:rPr>
                <w:rFonts w:ascii="Arial" w:hAnsi="Arial" w:cs="Arial"/>
                <w:b w:val="0"/>
                <w:bCs/>
                <w:iCs/>
              </w:rPr>
            </w:pPr>
            <w:r w:rsidRPr="00387ED9">
              <w:rPr>
                <w:rFonts w:ascii="Arial" w:hAnsi="Arial" w:cs="Arial"/>
                <w:b w:val="0"/>
                <w:bCs/>
                <w:iCs/>
              </w:rPr>
              <w:t>Health &amp; Social Care Act 20012015</w:t>
            </w:r>
          </w:p>
        </w:tc>
      </w:tr>
      <w:tr w:rsidR="003D2D74" w14:paraId="7FA6F37C" w14:textId="77777777" w:rsidTr="003D2D74">
        <w:tc>
          <w:tcPr>
            <w:tcW w:w="13948" w:type="dxa"/>
          </w:tcPr>
          <w:p w14:paraId="28166ED7" w14:textId="77777777" w:rsidR="003D2D74" w:rsidRDefault="003D2D74" w:rsidP="004209F2"/>
        </w:tc>
      </w:tr>
      <w:tr w:rsidR="003D2D74" w14:paraId="6F4E87CE" w14:textId="77777777" w:rsidTr="003D2D74">
        <w:tc>
          <w:tcPr>
            <w:tcW w:w="13948" w:type="dxa"/>
          </w:tcPr>
          <w:p w14:paraId="42D7E3E4" w14:textId="77777777" w:rsidR="003D2D74" w:rsidRDefault="003D2D74" w:rsidP="004209F2"/>
        </w:tc>
      </w:tr>
      <w:tr w:rsidR="003D2D74" w14:paraId="0FE4E76D" w14:textId="77777777" w:rsidTr="003D2D74">
        <w:tc>
          <w:tcPr>
            <w:tcW w:w="13948" w:type="dxa"/>
          </w:tcPr>
          <w:p w14:paraId="32BCCBD8" w14:textId="77777777" w:rsidR="003D2D74" w:rsidRDefault="003D2D74" w:rsidP="004209F2"/>
        </w:tc>
      </w:tr>
    </w:tbl>
    <w:p w14:paraId="5B8EFEC9" w14:textId="77777777" w:rsidR="003D2D74" w:rsidRDefault="003D2D74" w:rsidP="004209F2"/>
    <w:p w14:paraId="17D15C15" w14:textId="77777777" w:rsidR="002A04E6" w:rsidRDefault="002A04E6" w:rsidP="004209F2"/>
    <w:p w14:paraId="55C65D28" w14:textId="77777777" w:rsidR="00246075" w:rsidRDefault="00246075" w:rsidP="00594131">
      <w:pPr>
        <w:rPr>
          <w:rStyle w:val="Hyperlink"/>
          <w:color w:val="auto"/>
          <w:sz w:val="52"/>
          <w:szCs w:val="24"/>
        </w:rPr>
      </w:pPr>
    </w:p>
    <w:p w14:paraId="35F0A4F8" w14:textId="77777777"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52A8135A" w14:textId="77777777" w:rsidTr="004C16B2">
        <w:trPr>
          <w:trHeight w:val="399"/>
        </w:trPr>
        <w:tc>
          <w:tcPr>
            <w:tcW w:w="3668" w:type="pct"/>
          </w:tcPr>
          <w:p w14:paraId="6BF584F9"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44FB3E37"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38" w:history="1">
              <w:r w:rsidR="002D359A" w:rsidRPr="002D359A">
                <w:rPr>
                  <w:b w:val="0"/>
                  <w:color w:val="0000FF"/>
                  <w:sz w:val="24"/>
                  <w:szCs w:val="24"/>
                  <w:u w:val="single"/>
                </w:rPr>
                <w:t>Controllers and processors | ICO</w:t>
              </w:r>
            </w:hyperlink>
          </w:p>
        </w:tc>
        <w:tc>
          <w:tcPr>
            <w:tcW w:w="243" w:type="pct"/>
          </w:tcPr>
          <w:p w14:paraId="758EA443"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7C4087D6"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4A3BDC63" w14:textId="77777777" w:rsidTr="004C16B2">
        <w:trPr>
          <w:trHeight w:val="399"/>
        </w:trPr>
        <w:tc>
          <w:tcPr>
            <w:tcW w:w="3668" w:type="pct"/>
            <w:vAlign w:val="center"/>
          </w:tcPr>
          <w:p w14:paraId="14FB5238"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088DDEC0" w14:textId="77777777" w:rsidR="004C16B2" w:rsidRPr="006619ED" w:rsidRDefault="00ED52DC" w:rsidP="00BB0EDF">
                <w:pPr>
                  <w:autoSpaceDE w:val="0"/>
                  <w:autoSpaceDN w:val="0"/>
                  <w:adjustRightInd w:val="0"/>
                  <w:rPr>
                    <w:rFonts w:ascii="Arial" w:hAnsi="Arial" w:cs="Arial"/>
                    <w:b w:val="0"/>
                    <w:sz w:val="40"/>
                  </w:rPr>
                </w:pPr>
                <w:r w:rsidRPr="00ED52DC">
                  <w:rPr>
                    <w:rFonts w:ascii="MS Gothic" w:eastAsia="MS Gothic" w:hAnsi="MS Gothic" w:cs="Arial" w:hint="eastAsia"/>
                    <w:sz w:val="40"/>
                  </w:rPr>
                  <w:t>☒</w:t>
                </w:r>
              </w:p>
            </w:tc>
          </w:sdtContent>
        </w:sdt>
        <w:tc>
          <w:tcPr>
            <w:tcW w:w="1089" w:type="pct"/>
          </w:tcPr>
          <w:p w14:paraId="45A72C43" w14:textId="77777777" w:rsidR="00687392" w:rsidRDefault="00687392" w:rsidP="00687392">
            <w:pPr>
              <w:numPr>
                <w:ilvl w:val="0"/>
                <w:numId w:val="14"/>
              </w:numPr>
              <w:autoSpaceDE w:val="0"/>
              <w:autoSpaceDN w:val="0"/>
              <w:adjustRightInd w:val="0"/>
              <w:rPr>
                <w:rFonts w:ascii="Arial" w:hAnsi="Arial" w:cs="Arial"/>
                <w:b w:val="0"/>
                <w:bCs/>
              </w:rPr>
            </w:pPr>
            <w:r w:rsidRPr="00687392">
              <w:rPr>
                <w:rFonts w:ascii="Arial" w:hAnsi="Arial" w:cs="Arial"/>
                <w:b w:val="0"/>
                <w:bCs/>
              </w:rPr>
              <w:t>Essex County Council</w:t>
            </w:r>
          </w:p>
          <w:p w14:paraId="3959EF3D" w14:textId="77777777" w:rsidR="004C16B2" w:rsidRPr="001D5C2E" w:rsidRDefault="00687392" w:rsidP="00687392">
            <w:pPr>
              <w:numPr>
                <w:ilvl w:val="0"/>
                <w:numId w:val="14"/>
              </w:numPr>
              <w:autoSpaceDE w:val="0"/>
              <w:autoSpaceDN w:val="0"/>
              <w:adjustRightInd w:val="0"/>
              <w:rPr>
                <w:rFonts w:ascii="Arial" w:hAnsi="Arial" w:cs="Arial"/>
                <w:b w:val="0"/>
                <w:bCs/>
              </w:rPr>
            </w:pPr>
            <w:r w:rsidRPr="001D5C2E">
              <w:rPr>
                <w:rFonts w:ascii="Arial" w:hAnsi="Arial" w:cs="Arial"/>
                <w:b w:val="0"/>
                <w:bCs/>
              </w:rPr>
              <w:t>Mid and South Essex Foundation Trust</w:t>
            </w:r>
          </w:p>
        </w:tc>
      </w:tr>
      <w:tr w:rsidR="004C16B2" w14:paraId="5BC3AFA8" w14:textId="77777777" w:rsidTr="004C16B2">
        <w:tc>
          <w:tcPr>
            <w:tcW w:w="3668" w:type="pct"/>
            <w:vAlign w:val="center"/>
          </w:tcPr>
          <w:p w14:paraId="7582AB03" w14:textId="77777777"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30E7854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3CEFEF7F" w14:textId="77777777" w:rsidR="004C16B2" w:rsidRDefault="004C16B2" w:rsidP="00BB0EDF">
            <w:pPr>
              <w:autoSpaceDE w:val="0"/>
              <w:autoSpaceDN w:val="0"/>
              <w:adjustRightInd w:val="0"/>
              <w:rPr>
                <w:rFonts w:ascii="Arial" w:hAnsi="Arial" w:cs="Arial"/>
              </w:rPr>
            </w:pPr>
          </w:p>
        </w:tc>
      </w:tr>
      <w:tr w:rsidR="004C16B2" w14:paraId="7E95A957" w14:textId="77777777" w:rsidTr="004C16B2">
        <w:tc>
          <w:tcPr>
            <w:tcW w:w="3668" w:type="pct"/>
            <w:vAlign w:val="center"/>
          </w:tcPr>
          <w:p w14:paraId="7D3695AC"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3218D8ED"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7E46D63C" w14:textId="77777777" w:rsidR="004C16B2" w:rsidRDefault="004C16B2" w:rsidP="00BB0EDF">
            <w:pPr>
              <w:autoSpaceDE w:val="0"/>
              <w:autoSpaceDN w:val="0"/>
              <w:adjustRightInd w:val="0"/>
              <w:rPr>
                <w:rFonts w:ascii="Arial" w:hAnsi="Arial" w:cs="Arial"/>
              </w:rPr>
            </w:pPr>
          </w:p>
        </w:tc>
      </w:tr>
      <w:tr w:rsidR="004C16B2" w14:paraId="7121EC3D" w14:textId="77777777" w:rsidTr="004C16B2">
        <w:tc>
          <w:tcPr>
            <w:tcW w:w="3668" w:type="pct"/>
            <w:vAlign w:val="center"/>
          </w:tcPr>
          <w:p w14:paraId="4E8E5E06" w14:textId="77777777"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1"/>
              <w14:checkedState w14:val="2612" w14:font="MS Gothic"/>
              <w14:uncheckedState w14:val="2610" w14:font="MS Gothic"/>
            </w14:checkbox>
          </w:sdtPr>
          <w:sdtEndPr/>
          <w:sdtContent>
            <w:tc>
              <w:tcPr>
                <w:tcW w:w="243" w:type="pct"/>
              </w:tcPr>
              <w:p w14:paraId="46B9E9EA" w14:textId="77777777" w:rsidR="004C16B2" w:rsidRPr="006619ED" w:rsidRDefault="0077215C" w:rsidP="00BB0EDF">
                <w:pPr>
                  <w:autoSpaceDE w:val="0"/>
                  <w:autoSpaceDN w:val="0"/>
                  <w:adjustRightInd w:val="0"/>
                  <w:rPr>
                    <w:rFonts w:ascii="Arial" w:hAnsi="Arial" w:cs="Arial"/>
                    <w:b w:val="0"/>
                    <w:sz w:val="40"/>
                  </w:rPr>
                </w:pPr>
                <w:r w:rsidRPr="0077215C">
                  <w:rPr>
                    <w:rFonts w:ascii="MS Gothic" w:eastAsia="MS Gothic" w:hAnsi="MS Gothic" w:cs="Arial" w:hint="eastAsia"/>
                    <w:sz w:val="40"/>
                  </w:rPr>
                  <w:t>☒</w:t>
                </w:r>
              </w:p>
            </w:tc>
          </w:sdtContent>
        </w:sdt>
        <w:tc>
          <w:tcPr>
            <w:tcW w:w="1089" w:type="pct"/>
          </w:tcPr>
          <w:p w14:paraId="654F98C3" w14:textId="77777777" w:rsidR="00600617" w:rsidRPr="00600617" w:rsidRDefault="00600617" w:rsidP="00600617">
            <w:pPr>
              <w:autoSpaceDE w:val="0"/>
              <w:autoSpaceDN w:val="0"/>
              <w:adjustRightInd w:val="0"/>
              <w:rPr>
                <w:rFonts w:ascii="Arial" w:hAnsi="Arial" w:cs="Arial"/>
                <w:b w:val="0"/>
                <w:bCs/>
              </w:rPr>
            </w:pPr>
            <w:r w:rsidRPr="00600617">
              <w:rPr>
                <w:rFonts w:ascii="Arial" w:hAnsi="Arial" w:cs="Arial"/>
                <w:b w:val="0"/>
                <w:bCs/>
              </w:rPr>
              <w:t>Snowflake</w:t>
            </w:r>
          </w:p>
          <w:p w14:paraId="39A45A1D" w14:textId="77777777" w:rsidR="004C16B2" w:rsidRDefault="00600617" w:rsidP="00600617">
            <w:pPr>
              <w:autoSpaceDE w:val="0"/>
              <w:autoSpaceDN w:val="0"/>
              <w:adjustRightInd w:val="0"/>
              <w:rPr>
                <w:rFonts w:ascii="Arial" w:hAnsi="Arial" w:cs="Arial"/>
              </w:rPr>
            </w:pPr>
            <w:r w:rsidRPr="00600617">
              <w:rPr>
                <w:rFonts w:ascii="Arial" w:hAnsi="Arial" w:cs="Arial"/>
                <w:b w:val="0"/>
                <w:bCs/>
              </w:rPr>
              <w:t>Microsoft Azure</w:t>
            </w:r>
          </w:p>
        </w:tc>
      </w:tr>
    </w:tbl>
    <w:p w14:paraId="3D70DAF8" w14:textId="77777777" w:rsidR="00384228" w:rsidRDefault="00384228" w:rsidP="00384228"/>
    <w:p w14:paraId="2D8D2AD8" w14:textId="77777777"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one year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1BB176A4" w14:textId="77777777" w:rsidR="00246075" w:rsidRDefault="00246075" w:rsidP="586AE7A9">
      <w:pPr>
        <w:jc w:val="both"/>
        <w:rPr>
          <w:rFonts w:cs="Calibri"/>
          <w:color w:val="000000" w:themeColor="text1"/>
        </w:rPr>
      </w:pPr>
    </w:p>
    <w:p w14:paraId="022120B6" w14:textId="77777777" w:rsidR="002D359A" w:rsidRDefault="002D359A" w:rsidP="586AE7A9">
      <w:pPr>
        <w:jc w:val="both"/>
        <w:rPr>
          <w:rFonts w:cs="Calibri"/>
          <w:color w:val="000000" w:themeColor="text1"/>
        </w:rPr>
      </w:pPr>
    </w:p>
    <w:p w14:paraId="4BF0A342" w14:textId="77777777" w:rsidR="002D359A" w:rsidRDefault="002D359A" w:rsidP="586AE7A9">
      <w:pPr>
        <w:jc w:val="both"/>
        <w:rPr>
          <w:rFonts w:cs="Calibri"/>
          <w:color w:val="000000" w:themeColor="text1"/>
        </w:rPr>
      </w:pPr>
    </w:p>
    <w:p w14:paraId="69B3FD35" w14:textId="77777777" w:rsidR="002D359A" w:rsidRDefault="002D359A" w:rsidP="586AE7A9">
      <w:pPr>
        <w:jc w:val="both"/>
        <w:rPr>
          <w:rFonts w:cs="Calibri"/>
          <w:color w:val="000000" w:themeColor="text1"/>
        </w:rPr>
      </w:pPr>
    </w:p>
    <w:p w14:paraId="3905D01E" w14:textId="77777777" w:rsidR="002D359A" w:rsidRDefault="002D359A" w:rsidP="586AE7A9">
      <w:pPr>
        <w:jc w:val="both"/>
        <w:rPr>
          <w:rFonts w:cs="Calibri"/>
          <w:color w:val="000000" w:themeColor="text1"/>
        </w:rPr>
      </w:pPr>
    </w:p>
    <w:p w14:paraId="2F0DDE06" w14:textId="77777777" w:rsidR="002D359A" w:rsidRDefault="002D359A" w:rsidP="586AE7A9">
      <w:pPr>
        <w:jc w:val="both"/>
        <w:rPr>
          <w:rFonts w:cs="Calibri"/>
          <w:color w:val="000000" w:themeColor="text1"/>
        </w:rPr>
      </w:pPr>
    </w:p>
    <w:p w14:paraId="420B5ED3" w14:textId="77777777" w:rsidR="002D359A" w:rsidRDefault="002D359A" w:rsidP="586AE7A9">
      <w:pPr>
        <w:jc w:val="both"/>
        <w:rPr>
          <w:rFonts w:cs="Calibri"/>
          <w:color w:val="000000" w:themeColor="text1"/>
        </w:rPr>
      </w:pPr>
    </w:p>
    <w:p w14:paraId="4941ABE7" w14:textId="77777777" w:rsidR="00600617" w:rsidRDefault="00600617" w:rsidP="00594131">
      <w:pPr>
        <w:rPr>
          <w:rStyle w:val="Hyperlink"/>
          <w:color w:val="auto"/>
          <w:sz w:val="52"/>
          <w:szCs w:val="24"/>
        </w:rPr>
      </w:pPr>
    </w:p>
    <w:p w14:paraId="776CA24B" w14:textId="77777777" w:rsidR="00A44981" w:rsidRPr="003B17AA" w:rsidRDefault="00A44981" w:rsidP="00594131">
      <w:pPr>
        <w:rPr>
          <w:rStyle w:val="Hyperlink"/>
          <w:color w:val="auto"/>
          <w:sz w:val="52"/>
          <w:szCs w:val="24"/>
        </w:rPr>
      </w:pPr>
      <w:r w:rsidRPr="003B17AA">
        <w:rPr>
          <w:rStyle w:val="Hyperlink"/>
          <w:color w:val="auto"/>
          <w:sz w:val="52"/>
          <w:szCs w:val="24"/>
        </w:rPr>
        <w:lastRenderedPageBreak/>
        <w:t>5. Data Subject Rights</w:t>
      </w:r>
    </w:p>
    <w:p w14:paraId="1D9B0E3C" w14:textId="77777777"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72FA3E32" w14:textId="77777777" w:rsidTr="15C9276C">
        <w:trPr>
          <w:jc w:val="center"/>
        </w:trPr>
        <w:tc>
          <w:tcPr>
            <w:tcW w:w="12186" w:type="dxa"/>
            <w:shd w:val="clear" w:color="auto" w:fill="DBE5F1" w:themeFill="accent1" w:themeFillTint="33"/>
            <w:vAlign w:val="center"/>
          </w:tcPr>
          <w:p w14:paraId="607DD85B" w14:textId="77777777"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56E1FC9D"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39"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A4FFE8" w14:textId="77777777"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37E0612B" w14:textId="77777777" w:rsidTr="15C9276C">
        <w:trPr>
          <w:jc w:val="center"/>
        </w:trPr>
        <w:tc>
          <w:tcPr>
            <w:tcW w:w="12186" w:type="dxa"/>
          </w:tcPr>
          <w:p w14:paraId="0530F8FB" w14:textId="77777777"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42CC6F8E"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0616A3">
                  <w:rPr>
                    <w:rFonts w:ascii="MS Gothic" w:eastAsia="MS Gothic" w:hAnsi="MS Gothic" w:cs="Arial" w:hint="eastAsia"/>
                    <w:color w:val="000000"/>
                    <w:sz w:val="36"/>
                  </w:rPr>
                  <w:t>☒</w:t>
                </w:r>
              </w:sdtContent>
            </w:sdt>
          </w:p>
        </w:tc>
      </w:tr>
      <w:tr w:rsidR="008A6D2F" w14:paraId="0ABF259F" w14:textId="77777777" w:rsidTr="15C9276C">
        <w:trPr>
          <w:jc w:val="center"/>
        </w:trPr>
        <w:tc>
          <w:tcPr>
            <w:tcW w:w="12186" w:type="dxa"/>
          </w:tcPr>
          <w:p w14:paraId="35FC8C82" w14:textId="77777777"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34A7218E"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0616A3" w:rsidRPr="000616A3">
                  <w:rPr>
                    <w:rFonts w:ascii="MS Gothic" w:eastAsia="MS Gothic" w:hAnsi="MS Gothic" w:cs="Arial" w:hint="eastAsia"/>
                    <w:color w:val="000000"/>
                    <w:sz w:val="36"/>
                  </w:rPr>
                  <w:t>☒</w:t>
                </w:r>
              </w:sdtContent>
            </w:sdt>
          </w:p>
        </w:tc>
      </w:tr>
      <w:tr w:rsidR="008A6D2F" w14:paraId="48230F32" w14:textId="77777777" w:rsidTr="15C9276C">
        <w:trPr>
          <w:jc w:val="center"/>
        </w:trPr>
        <w:tc>
          <w:tcPr>
            <w:tcW w:w="12186" w:type="dxa"/>
          </w:tcPr>
          <w:p w14:paraId="621300DA" w14:textId="77777777"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E149EF7"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0616A3" w:rsidRPr="000616A3">
                  <w:rPr>
                    <w:rFonts w:ascii="MS Gothic" w:eastAsia="MS Gothic" w:hAnsi="MS Gothic" w:cs="Arial" w:hint="eastAsia"/>
                    <w:color w:val="000000"/>
                    <w:sz w:val="36"/>
                  </w:rPr>
                  <w:t>☒</w:t>
                </w:r>
              </w:sdtContent>
            </w:sdt>
          </w:p>
        </w:tc>
      </w:tr>
      <w:tr w:rsidR="008A6D2F" w14:paraId="539E9FB8" w14:textId="77777777" w:rsidTr="15C9276C">
        <w:trPr>
          <w:jc w:val="center"/>
        </w:trPr>
        <w:tc>
          <w:tcPr>
            <w:tcW w:w="12186" w:type="dxa"/>
          </w:tcPr>
          <w:p w14:paraId="040AC41D" w14:textId="77777777"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C1242EF"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3F5C958A" w14:textId="77777777" w:rsidTr="15C9276C">
        <w:trPr>
          <w:jc w:val="center"/>
        </w:trPr>
        <w:tc>
          <w:tcPr>
            <w:tcW w:w="12186" w:type="dxa"/>
          </w:tcPr>
          <w:p w14:paraId="076227F8" w14:textId="77777777"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BA40B91"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0616A3" w:rsidRPr="000616A3">
                  <w:rPr>
                    <w:rFonts w:ascii="MS Gothic" w:eastAsia="MS Gothic" w:hAnsi="MS Gothic" w:cs="Arial" w:hint="eastAsia"/>
                    <w:color w:val="000000"/>
                    <w:sz w:val="36"/>
                  </w:rPr>
                  <w:t>☒</w:t>
                </w:r>
              </w:sdtContent>
            </w:sdt>
          </w:p>
        </w:tc>
      </w:tr>
      <w:tr w:rsidR="008A6D2F" w14:paraId="0513B2A8" w14:textId="77777777" w:rsidTr="15C9276C">
        <w:trPr>
          <w:jc w:val="center"/>
        </w:trPr>
        <w:tc>
          <w:tcPr>
            <w:tcW w:w="12186" w:type="dxa"/>
          </w:tcPr>
          <w:p w14:paraId="5DE19D22" w14:textId="77777777"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3355FE90"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0616A3" w:rsidRPr="000616A3">
                  <w:rPr>
                    <w:rFonts w:ascii="MS Gothic" w:eastAsia="MS Gothic" w:hAnsi="MS Gothic" w:cs="Arial" w:hint="eastAsia"/>
                    <w:color w:val="000000"/>
                    <w:sz w:val="36"/>
                  </w:rPr>
                  <w:t>☒</w:t>
                </w:r>
              </w:sdtContent>
            </w:sdt>
          </w:p>
        </w:tc>
      </w:tr>
      <w:tr w:rsidR="008A6D2F" w14:paraId="627CF44E" w14:textId="77777777" w:rsidTr="15C9276C">
        <w:trPr>
          <w:jc w:val="center"/>
        </w:trPr>
        <w:tc>
          <w:tcPr>
            <w:tcW w:w="12186" w:type="dxa"/>
          </w:tcPr>
          <w:p w14:paraId="5FB9906D" w14:textId="77777777"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6CE684AE"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0616A3" w:rsidRPr="000616A3">
                  <w:rPr>
                    <w:rFonts w:ascii="MS Gothic" w:eastAsia="MS Gothic" w:hAnsi="MS Gothic" w:cs="Arial" w:hint="eastAsia"/>
                    <w:color w:val="000000"/>
                    <w:sz w:val="36"/>
                  </w:rPr>
                  <w:t>☒</w:t>
                </w:r>
              </w:sdtContent>
            </w:sdt>
          </w:p>
        </w:tc>
      </w:tr>
      <w:tr w:rsidR="008A6D2F" w14:paraId="3BC34D1E" w14:textId="77777777" w:rsidTr="15C9276C">
        <w:trPr>
          <w:jc w:val="center"/>
        </w:trPr>
        <w:tc>
          <w:tcPr>
            <w:tcW w:w="12186" w:type="dxa"/>
          </w:tcPr>
          <w:p w14:paraId="6EB54028" w14:textId="77777777"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3A6B26FB"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1F0E1A9E" w14:textId="77777777" w:rsidTr="15C9276C">
        <w:trPr>
          <w:jc w:val="center"/>
        </w:trPr>
        <w:tc>
          <w:tcPr>
            <w:tcW w:w="12186" w:type="dxa"/>
          </w:tcPr>
          <w:p w14:paraId="4E723AE2"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F49D8C8" w14:textId="77777777" w:rsidR="008A6D2F" w:rsidRPr="006619ED" w:rsidRDefault="00F35A09"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CB02D9" w:rsidRPr="00CB02D9">
                  <w:rPr>
                    <w:rFonts w:ascii="MS Gothic" w:eastAsia="MS Gothic" w:hAnsi="MS Gothic" w:cs="Arial" w:hint="eastAsia"/>
                    <w:color w:val="000000"/>
                    <w:sz w:val="36"/>
                  </w:rPr>
                  <w:t>☒</w:t>
                </w:r>
              </w:sdtContent>
            </w:sdt>
          </w:p>
        </w:tc>
      </w:tr>
    </w:tbl>
    <w:p w14:paraId="7B1FEE72" w14:textId="77777777" w:rsidR="0051410F" w:rsidRDefault="0051410F" w:rsidP="00F33592">
      <w:pPr>
        <w:rPr>
          <w:rFonts w:ascii="Arial" w:hAnsi="Arial" w:cs="Arial"/>
        </w:rPr>
      </w:pPr>
    </w:p>
    <w:p w14:paraId="130B7D75" w14:textId="77777777" w:rsidR="00B60F60" w:rsidRDefault="00B60F60" w:rsidP="00F33592">
      <w:pPr>
        <w:rPr>
          <w:rFonts w:ascii="Arial" w:hAnsi="Arial" w:cs="Arial"/>
        </w:rPr>
      </w:pPr>
    </w:p>
    <w:p w14:paraId="3AD8B6AA"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26E46456" w14:textId="77777777"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2EA0326" w14:textId="77777777" w:rsidR="0099034B" w:rsidRPr="00D1534C" w:rsidRDefault="0099034B" w:rsidP="0099034B">
      <w:pPr>
        <w:autoSpaceDE w:val="0"/>
        <w:autoSpaceDN w:val="0"/>
        <w:adjustRightInd w:val="0"/>
        <w:contextualSpacing/>
        <w:jc w:val="both"/>
        <w:rPr>
          <w:rFonts w:asciiTheme="minorHAnsi" w:hAnsiTheme="minorHAnsi" w:cs="Arial"/>
          <w:b/>
          <w:color w:val="FF0000"/>
          <w:sz w:val="24"/>
        </w:rPr>
      </w:pPr>
      <w:r w:rsidRPr="00D1534C">
        <w:rPr>
          <w:rFonts w:ascii="Arial" w:hAnsi="Arial" w:cs="Arial"/>
          <w:sz w:val="24"/>
        </w:rPr>
        <w:t>Personal information will be securely shared via</w:t>
      </w:r>
      <w:r w:rsidRPr="00D1534C">
        <w:rPr>
          <w:rFonts w:ascii="Arial" w:hAnsi="Arial" w:cs="Arial"/>
          <w:i/>
          <w:sz w:val="24"/>
        </w:rPr>
        <w:t xml:space="preserve"> </w:t>
      </w:r>
      <w:r>
        <w:rPr>
          <w:rFonts w:ascii="Arial" w:hAnsi="Arial" w:cs="Arial"/>
        </w:rPr>
        <w:t>Snowflake Platform (pseudonymised data only).</w:t>
      </w:r>
    </w:p>
    <w:p w14:paraId="06877C5C" w14:textId="77777777" w:rsidR="00187007" w:rsidRDefault="00187007" w:rsidP="00F97118">
      <w:pPr>
        <w:autoSpaceDE w:val="0"/>
        <w:autoSpaceDN w:val="0"/>
        <w:adjustRightInd w:val="0"/>
        <w:contextualSpacing/>
        <w:jc w:val="both"/>
        <w:rPr>
          <w:rFonts w:ascii="Arial" w:hAnsi="Arial" w:cs="Arial"/>
          <w:sz w:val="24"/>
        </w:rPr>
      </w:pPr>
    </w:p>
    <w:p w14:paraId="16BA87B4"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CF4B34D" w14:textId="77777777"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228F3936" w14:textId="77777777"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6B9294D9"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71652691" w14:textId="77777777"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50856B81" w14:textId="77777777"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297A242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4DCADD44" w14:textId="77777777" w:rsidR="00F97118" w:rsidRDefault="00F97118" w:rsidP="00F97118">
      <w:pPr>
        <w:autoSpaceDE w:val="0"/>
        <w:autoSpaceDN w:val="0"/>
        <w:adjustRightInd w:val="0"/>
        <w:contextualSpacing/>
        <w:jc w:val="both"/>
        <w:rPr>
          <w:rFonts w:ascii="Arial" w:hAnsi="Arial" w:cs="Arial"/>
          <w:i/>
          <w:sz w:val="24"/>
        </w:rPr>
      </w:pPr>
    </w:p>
    <w:p w14:paraId="7A974A66" w14:textId="77777777" w:rsidR="003978A4" w:rsidRDefault="003978A4" w:rsidP="00F97118">
      <w:pPr>
        <w:autoSpaceDE w:val="0"/>
        <w:autoSpaceDN w:val="0"/>
        <w:adjustRightInd w:val="0"/>
        <w:contextualSpacing/>
        <w:jc w:val="both"/>
        <w:rPr>
          <w:rFonts w:ascii="Arial" w:hAnsi="Arial" w:cs="Arial"/>
          <w:i/>
          <w:sz w:val="24"/>
        </w:rPr>
      </w:pPr>
    </w:p>
    <w:p w14:paraId="190E1CF3" w14:textId="77777777" w:rsidR="003978A4" w:rsidRDefault="003978A4" w:rsidP="00F97118">
      <w:pPr>
        <w:autoSpaceDE w:val="0"/>
        <w:autoSpaceDN w:val="0"/>
        <w:adjustRightInd w:val="0"/>
        <w:contextualSpacing/>
        <w:jc w:val="both"/>
        <w:rPr>
          <w:rFonts w:ascii="Arial" w:hAnsi="Arial" w:cs="Arial"/>
          <w:i/>
          <w:sz w:val="24"/>
        </w:rPr>
      </w:pPr>
    </w:p>
    <w:p w14:paraId="4D794D59" w14:textId="77777777" w:rsidR="003978A4" w:rsidRDefault="003978A4" w:rsidP="00F97118">
      <w:pPr>
        <w:autoSpaceDE w:val="0"/>
        <w:autoSpaceDN w:val="0"/>
        <w:adjustRightInd w:val="0"/>
        <w:contextualSpacing/>
        <w:jc w:val="both"/>
        <w:rPr>
          <w:rFonts w:ascii="Arial" w:hAnsi="Arial" w:cs="Arial"/>
          <w:i/>
          <w:sz w:val="24"/>
        </w:rPr>
      </w:pPr>
    </w:p>
    <w:p w14:paraId="41993C94" w14:textId="77777777" w:rsidR="003978A4" w:rsidRDefault="003978A4" w:rsidP="00F97118">
      <w:pPr>
        <w:autoSpaceDE w:val="0"/>
        <w:autoSpaceDN w:val="0"/>
        <w:adjustRightInd w:val="0"/>
        <w:contextualSpacing/>
        <w:jc w:val="both"/>
        <w:rPr>
          <w:rFonts w:ascii="Arial" w:hAnsi="Arial" w:cs="Arial"/>
          <w:i/>
          <w:sz w:val="24"/>
        </w:rPr>
      </w:pPr>
    </w:p>
    <w:p w14:paraId="2EB5CD2A" w14:textId="77777777" w:rsidR="003978A4" w:rsidRDefault="003978A4" w:rsidP="00F97118">
      <w:pPr>
        <w:autoSpaceDE w:val="0"/>
        <w:autoSpaceDN w:val="0"/>
        <w:adjustRightInd w:val="0"/>
        <w:contextualSpacing/>
        <w:jc w:val="both"/>
        <w:rPr>
          <w:rFonts w:ascii="Arial" w:hAnsi="Arial" w:cs="Arial"/>
          <w:i/>
          <w:sz w:val="24"/>
        </w:rPr>
      </w:pPr>
    </w:p>
    <w:p w14:paraId="0F8C7E1B" w14:textId="77777777" w:rsidR="003978A4" w:rsidRDefault="003978A4" w:rsidP="00F97118">
      <w:pPr>
        <w:autoSpaceDE w:val="0"/>
        <w:autoSpaceDN w:val="0"/>
        <w:adjustRightInd w:val="0"/>
        <w:contextualSpacing/>
        <w:jc w:val="both"/>
        <w:rPr>
          <w:rFonts w:ascii="Arial" w:hAnsi="Arial" w:cs="Arial"/>
          <w:i/>
          <w:sz w:val="24"/>
        </w:rPr>
      </w:pPr>
    </w:p>
    <w:p w14:paraId="1BCE8DFB" w14:textId="77777777" w:rsidR="00F97118" w:rsidRPr="0099034B" w:rsidRDefault="000B4BE7" w:rsidP="0099034B">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F97118" w:rsidRPr="15C9276C">
        <w:rPr>
          <w:rFonts w:ascii="Arial" w:hAnsi="Arial" w:cs="Arial"/>
          <w:b/>
          <w:bCs/>
          <w:sz w:val="24"/>
          <w:szCs w:val="24"/>
        </w:rPr>
        <w:t xml:space="preserve">Where </w:t>
      </w:r>
      <w:r w:rsidR="73818768" w:rsidRPr="15C9276C">
        <w:rPr>
          <w:rFonts w:ascii="Arial" w:hAnsi="Arial" w:cs="Arial"/>
          <w:b/>
          <w:bCs/>
          <w:sz w:val="24"/>
          <w:szCs w:val="24"/>
        </w:rPr>
        <w:t xml:space="preserve">applicable) </w:t>
      </w:r>
    </w:p>
    <w:p w14:paraId="5E298430" w14:textId="77777777" w:rsidR="00F97118" w:rsidRDefault="00F97118" w:rsidP="00F97118">
      <w:pPr>
        <w:autoSpaceDE w:val="0"/>
        <w:autoSpaceDN w:val="0"/>
        <w:adjustRightInd w:val="0"/>
        <w:contextualSpacing/>
        <w:rPr>
          <w:rFonts w:ascii="Arial" w:hAnsi="Arial" w:cs="Arial"/>
          <w:sz w:val="24"/>
        </w:rPr>
      </w:pPr>
      <w:r w:rsidRPr="00D1534C">
        <w:rPr>
          <w:rFonts w:ascii="Arial" w:hAnsi="Arial" w:cs="Arial"/>
          <w:sz w:val="24"/>
        </w:rPr>
        <w:t xml:space="preserve">If any personal data is to be transferred outside of the </w:t>
      </w:r>
      <w:r>
        <w:rPr>
          <w:rFonts w:ascii="Arial" w:hAnsi="Arial" w:cs="Arial"/>
          <w:sz w:val="24"/>
        </w:rPr>
        <w:t>UK</w:t>
      </w:r>
      <w:r w:rsidRPr="00D1534C">
        <w:rPr>
          <w:rFonts w:ascii="Arial" w:hAnsi="Arial" w:cs="Arial"/>
          <w:sz w:val="24"/>
        </w:rPr>
        <w:t>, please ensure you capture the relevant supporting adequacy decision</w:t>
      </w:r>
      <w:r>
        <w:rPr>
          <w:rFonts w:ascii="Arial" w:hAnsi="Arial" w:cs="Arial"/>
          <w:sz w:val="24"/>
        </w:rPr>
        <w:t xml:space="preserve"> or safeguard</w:t>
      </w:r>
      <w:r w:rsidRPr="00D1534C">
        <w:rPr>
          <w:rFonts w:ascii="Arial" w:hAnsi="Arial" w:cs="Arial"/>
          <w:sz w:val="24"/>
        </w:rPr>
        <w:t xml:space="preserve"> for </w:t>
      </w:r>
      <w:r w:rsidR="00EB10CA">
        <w:rPr>
          <w:rFonts w:ascii="Arial" w:hAnsi="Arial" w:cs="Arial"/>
          <w:sz w:val="24"/>
        </w:rPr>
        <w:t>the</w:t>
      </w:r>
      <w:r w:rsidRPr="00D1534C">
        <w:rPr>
          <w:rFonts w:ascii="Arial" w:hAnsi="Arial" w:cs="Arial"/>
          <w:sz w:val="24"/>
        </w:rPr>
        <w:t xml:space="preserve"> transfer (articles 40-43).</w:t>
      </w:r>
    </w:p>
    <w:p w14:paraId="79C11381" w14:textId="77777777" w:rsidR="00483784" w:rsidRPr="00D1534C" w:rsidRDefault="00483784" w:rsidP="00F97118">
      <w:pPr>
        <w:autoSpaceDE w:val="0"/>
        <w:autoSpaceDN w:val="0"/>
        <w:adjustRightInd w:val="0"/>
        <w:contextualSpacing/>
        <w:rPr>
          <w:rFonts w:ascii="Arial" w:hAnsi="Arial" w:cs="Arial"/>
          <w:sz w:val="24"/>
        </w:rPr>
      </w:pPr>
    </w:p>
    <w:tbl>
      <w:tblPr>
        <w:tblStyle w:val="TableGrid"/>
        <w:tblW w:w="13603" w:type="dxa"/>
        <w:tblLayout w:type="fixed"/>
        <w:tblLook w:val="04A0" w:firstRow="1" w:lastRow="0" w:firstColumn="1" w:lastColumn="0" w:noHBand="0" w:noVBand="1"/>
      </w:tblPr>
      <w:tblGrid>
        <w:gridCol w:w="7225"/>
        <w:gridCol w:w="3260"/>
        <w:gridCol w:w="3118"/>
      </w:tblGrid>
      <w:tr w:rsidR="00176414" w14:paraId="5FA04E29" w14:textId="77777777" w:rsidTr="5EBCB6A4">
        <w:tc>
          <w:tcPr>
            <w:tcW w:w="7225" w:type="dxa"/>
          </w:tcPr>
          <w:p w14:paraId="7F16358B" w14:textId="77777777" w:rsidR="00176414" w:rsidRPr="0023472B" w:rsidRDefault="00F35A09" w:rsidP="0023472B">
            <w:pPr>
              <w:autoSpaceDE w:val="0"/>
              <w:autoSpaceDN w:val="0"/>
              <w:adjustRightInd w:val="0"/>
              <w:spacing w:before="240"/>
              <w:contextualSpacing/>
              <w:rPr>
                <w:rFonts w:ascii="Arial" w:hAnsi="Arial" w:cs="Arial"/>
                <w:sz w:val="24"/>
              </w:rPr>
            </w:pPr>
            <w:hyperlink r:id="rId40" w:history="1">
              <w:r w:rsidR="00176414" w:rsidRPr="00FE3791">
                <w:rPr>
                  <w:rStyle w:val="Hyperlink"/>
                  <w:rFonts w:ascii="Arial" w:hAnsi="Arial" w:cs="Arial"/>
                  <w:sz w:val="24"/>
                </w:rPr>
                <w:t>Adequacy Decision</w:t>
              </w:r>
            </w:hyperlink>
            <w:r w:rsidR="00176414" w:rsidRPr="00D1534C">
              <w:rPr>
                <w:rFonts w:ascii="Arial" w:hAnsi="Arial" w:cs="Arial"/>
                <w:sz w:val="24"/>
              </w:rPr>
              <w:t xml:space="preserve"> </w:t>
            </w:r>
            <w:r w:rsidR="00176414" w:rsidRPr="0098055A">
              <w:rPr>
                <w:rFonts w:ascii="Arial" w:hAnsi="Arial" w:cs="Arial"/>
                <w:b w:val="0"/>
                <w:bCs/>
                <w:sz w:val="24"/>
              </w:rPr>
              <w:t>in place</w:t>
            </w:r>
          </w:p>
        </w:tc>
        <w:tc>
          <w:tcPr>
            <w:tcW w:w="3260" w:type="dxa"/>
          </w:tcPr>
          <w:p w14:paraId="1211151A" w14:textId="77777777" w:rsidR="00176414" w:rsidRPr="00D1534C" w:rsidRDefault="0023472B" w:rsidP="0CCFEAB7">
            <w:pPr>
              <w:autoSpaceDE w:val="0"/>
              <w:autoSpaceDN w:val="0"/>
              <w:adjustRightInd w:val="0"/>
              <w:contextualSpacing/>
              <w:rPr>
                <w:rFonts w:ascii="Arial" w:hAnsi="Arial" w:cs="Arial"/>
                <w:sz w:val="24"/>
                <w:szCs w:val="24"/>
              </w:rPr>
            </w:pPr>
            <w:r>
              <w:rPr>
                <w:rFonts w:ascii="Arial" w:hAnsi="Arial" w:cs="Arial"/>
                <w:sz w:val="24"/>
                <w:szCs w:val="24"/>
              </w:rPr>
              <w:t xml:space="preserve">Yes </w:t>
            </w:r>
          </w:p>
        </w:tc>
        <w:tc>
          <w:tcPr>
            <w:tcW w:w="3118" w:type="dxa"/>
          </w:tcPr>
          <w:p w14:paraId="346346CF" w14:textId="77777777" w:rsidR="00176414" w:rsidRPr="00706A6B" w:rsidRDefault="00F35A09" w:rsidP="00BB0EDF">
            <w:pPr>
              <w:autoSpaceDE w:val="0"/>
              <w:autoSpaceDN w:val="0"/>
              <w:adjustRightInd w:val="0"/>
              <w:contextualSpacing/>
              <w:rPr>
                <w:rFonts w:ascii="Arial" w:hAnsi="Arial" w:cs="Arial"/>
                <w:b w:val="0"/>
                <w:bCs/>
                <w:szCs w:val="20"/>
              </w:rPr>
            </w:pPr>
            <w:hyperlink r:id="rId41" w:history="1">
              <w:r w:rsidR="00F61571">
                <w:rPr>
                  <w:rStyle w:val="Hyperlink"/>
                </w:rPr>
                <w:t>International data transfers | ICO</w:t>
              </w:r>
            </w:hyperlink>
          </w:p>
        </w:tc>
      </w:tr>
      <w:tr w:rsidR="009063F3" w14:paraId="42208ADC" w14:textId="77777777" w:rsidTr="5EBCB6A4">
        <w:tc>
          <w:tcPr>
            <w:tcW w:w="7225" w:type="dxa"/>
          </w:tcPr>
          <w:p w14:paraId="23E3685E" w14:textId="77777777" w:rsidR="00F91121" w:rsidRPr="00AC291B" w:rsidRDefault="00F35A09" w:rsidP="004E17A7">
            <w:pPr>
              <w:autoSpaceDE w:val="0"/>
              <w:autoSpaceDN w:val="0"/>
              <w:adjustRightInd w:val="0"/>
              <w:spacing w:before="240"/>
              <w:contextualSpacing/>
              <w:rPr>
                <w:rFonts w:ascii="Arial" w:hAnsi="Arial" w:cs="Arial"/>
                <w:sz w:val="24"/>
                <w:szCs w:val="24"/>
              </w:rPr>
            </w:pPr>
            <w:hyperlink r:id="rId42" w:tgtFrame="_blank" w:tooltip="International data transfer agreement (Word document)" w:history="1">
              <w:r w:rsidR="002142A5" w:rsidRPr="00665017">
                <w:rPr>
                  <w:rStyle w:val="Hyperlink"/>
                  <w:rFonts w:ascii="Arial" w:hAnsi="Arial" w:cs="Arial"/>
                  <w:sz w:val="24"/>
                </w:rPr>
                <w:t>International data transfer agreement</w:t>
              </w:r>
              <w:r w:rsidR="002142A5" w:rsidRPr="002142A5">
                <w:rPr>
                  <w:rStyle w:val="Hyperlink"/>
                  <w:rFonts w:ascii="Arial" w:hAnsi="Arial" w:cs="Arial"/>
                  <w:color w:val="005098"/>
                  <w:sz w:val="24"/>
                  <w:szCs w:val="24"/>
                  <w:shd w:val="clear" w:color="auto" w:fill="FFFFFF"/>
                </w:rPr>
                <w:t xml:space="preserve"> </w:t>
              </w:r>
              <w:r w:rsidR="437D3521" w:rsidRPr="437D3521">
                <w:rPr>
                  <w:rFonts w:ascii="Arial" w:hAnsi="Arial" w:cs="Arial"/>
                  <w:b w:val="0"/>
                  <w:sz w:val="24"/>
                  <w:szCs w:val="24"/>
                  <w:shd w:val="clear" w:color="auto" w:fill="FFFFFF"/>
                </w:rPr>
                <w:t>to support personal data processed under the UK GDPR</w:t>
              </w:r>
            </w:hyperlink>
          </w:p>
        </w:tc>
        <w:tc>
          <w:tcPr>
            <w:tcW w:w="3260" w:type="dxa"/>
          </w:tcPr>
          <w:p w14:paraId="6627A015" w14:textId="77777777" w:rsidR="009063F3" w:rsidRPr="4303F8C0" w:rsidRDefault="008D6733" w:rsidP="0CCFEAB7">
            <w:pPr>
              <w:autoSpaceDE w:val="0"/>
              <w:autoSpaceDN w:val="0"/>
              <w:adjustRightInd w:val="0"/>
              <w:contextualSpacing/>
              <w:rPr>
                <w:rFonts w:ascii="Arial" w:hAnsi="Arial" w:cs="Arial"/>
                <w:sz w:val="24"/>
                <w:szCs w:val="24"/>
              </w:rPr>
            </w:pPr>
            <w:r>
              <w:rPr>
                <w:rFonts w:ascii="Arial" w:hAnsi="Arial" w:cs="Arial"/>
                <w:sz w:val="24"/>
                <w:szCs w:val="24"/>
              </w:rPr>
              <w:t>N/A</w:t>
            </w:r>
          </w:p>
        </w:tc>
        <w:tc>
          <w:tcPr>
            <w:tcW w:w="3118" w:type="dxa"/>
          </w:tcPr>
          <w:p w14:paraId="19353FD7" w14:textId="77777777" w:rsidR="009063F3" w:rsidRPr="00706A6B" w:rsidRDefault="00357D8A" w:rsidP="00BB0EDF">
            <w:pPr>
              <w:autoSpaceDE w:val="0"/>
              <w:autoSpaceDN w:val="0"/>
              <w:adjustRightInd w:val="0"/>
              <w:contextualSpacing/>
              <w:rPr>
                <w:rFonts w:ascii="Arial" w:hAnsi="Arial" w:cs="Arial"/>
                <w:b w:val="0"/>
                <w:bCs/>
                <w:szCs w:val="20"/>
              </w:rPr>
            </w:pPr>
            <w:r w:rsidRPr="00706A6B">
              <w:rPr>
                <w:rFonts w:ascii="Arial" w:hAnsi="Arial" w:cs="Arial"/>
                <w:b w:val="0"/>
                <w:bCs/>
                <w:szCs w:val="20"/>
              </w:rPr>
              <w:t>[hyperlink]</w:t>
            </w:r>
          </w:p>
          <w:p w14:paraId="2ADED866" w14:textId="77777777" w:rsidR="00DE6ABA" w:rsidRPr="00706A6B" w:rsidRDefault="00DE6ABA" w:rsidP="00BB0EDF">
            <w:pPr>
              <w:autoSpaceDE w:val="0"/>
              <w:autoSpaceDN w:val="0"/>
              <w:adjustRightInd w:val="0"/>
              <w:contextualSpacing/>
              <w:rPr>
                <w:b w:val="0"/>
                <w:bCs/>
                <w:szCs w:val="20"/>
              </w:rPr>
            </w:pPr>
          </w:p>
        </w:tc>
      </w:tr>
      <w:tr w:rsidR="00176414" w14:paraId="5CBC02EB" w14:textId="77777777" w:rsidTr="5EBCB6A4">
        <w:tc>
          <w:tcPr>
            <w:tcW w:w="7225" w:type="dxa"/>
          </w:tcPr>
          <w:p w14:paraId="757BF089" w14:textId="77777777" w:rsidR="00176414" w:rsidRPr="00D1534C" w:rsidRDefault="00F35A09" w:rsidP="437D3521">
            <w:pPr>
              <w:autoSpaceDE w:val="0"/>
              <w:autoSpaceDN w:val="0"/>
              <w:adjustRightInd w:val="0"/>
              <w:contextualSpacing/>
              <w:rPr>
                <w:rFonts w:ascii="Arial" w:hAnsi="Arial" w:cs="Arial"/>
                <w:sz w:val="24"/>
                <w:szCs w:val="24"/>
              </w:rPr>
            </w:pPr>
            <w:hyperlink r:id="rId43">
              <w:r w:rsidR="00176414" w:rsidRPr="437D3521">
                <w:rPr>
                  <w:rStyle w:val="Hyperlink"/>
                  <w:rFonts w:ascii="Arial" w:hAnsi="Arial" w:cs="Arial"/>
                  <w:sz w:val="24"/>
                  <w:szCs w:val="24"/>
                </w:rPr>
                <w:t xml:space="preserve">EU standard contract clauses </w:t>
              </w:r>
            </w:hyperlink>
            <w:r w:rsidR="437D3521" w:rsidRPr="0098055A">
              <w:rPr>
                <w:rFonts w:ascii="Arial" w:hAnsi="Arial" w:cs="Arial"/>
                <w:b w:val="0"/>
                <w:bCs/>
                <w:sz w:val="24"/>
                <w:szCs w:val="24"/>
              </w:rPr>
              <w:t>supported by</w:t>
            </w:r>
            <w:r w:rsidR="437D3521" w:rsidRPr="437D3521">
              <w:rPr>
                <w:rFonts w:ascii="Arial" w:hAnsi="Arial" w:cs="Arial"/>
                <w:sz w:val="24"/>
                <w:szCs w:val="24"/>
              </w:rPr>
              <w:t xml:space="preserve"> </w:t>
            </w:r>
          </w:p>
          <w:p w14:paraId="2EC7B713" w14:textId="77777777" w:rsidR="00176414" w:rsidRPr="002D359A" w:rsidRDefault="00F35A09" w:rsidP="002D359A">
            <w:pPr>
              <w:autoSpaceDE w:val="0"/>
              <w:autoSpaceDN w:val="0"/>
              <w:adjustRightInd w:val="0"/>
              <w:spacing w:before="240"/>
              <w:contextualSpacing/>
              <w:rPr>
                <w:rFonts w:ascii="Arial" w:hAnsi="Arial" w:cs="Arial"/>
                <w:sz w:val="24"/>
                <w:szCs w:val="24"/>
              </w:rPr>
            </w:pPr>
            <w:hyperlink r:id="rId44">
              <w:r w:rsidR="00AC291B" w:rsidRPr="00665017">
                <w:rPr>
                  <w:rStyle w:val="Hyperlink"/>
                  <w:rFonts w:ascii="Arial" w:hAnsi="Arial" w:cs="Arial"/>
                  <w:sz w:val="24"/>
                </w:rPr>
                <w:t>International data transfer addendum to the European Commission’s standard contractual clauses for international data transfers</w:t>
              </w:r>
              <w:r w:rsidR="00AC291B" w:rsidRPr="437D3521">
                <w:rPr>
                  <w:rStyle w:val="Hyperlink"/>
                  <w:rFonts w:ascii="Arial" w:hAnsi="Arial" w:cs="Arial"/>
                  <w:color w:val="005098"/>
                  <w:sz w:val="24"/>
                  <w:szCs w:val="24"/>
                </w:rPr>
                <w:t xml:space="preserve"> </w:t>
              </w:r>
            </w:hyperlink>
            <w:r w:rsidR="437D3521" w:rsidRPr="437D3521">
              <w:rPr>
                <w:rFonts w:ascii="Arial" w:hAnsi="Arial" w:cs="Arial"/>
                <w:b w:val="0"/>
                <w:sz w:val="24"/>
                <w:szCs w:val="24"/>
              </w:rPr>
              <w:t>to support transfers of personal data processed under both the UK GDPR and the EU GDPR</w:t>
            </w:r>
          </w:p>
        </w:tc>
        <w:tc>
          <w:tcPr>
            <w:tcW w:w="3260" w:type="dxa"/>
          </w:tcPr>
          <w:p w14:paraId="3EC71EC2" w14:textId="77777777" w:rsidR="00176414" w:rsidRPr="00D1534C" w:rsidRDefault="008D6733" w:rsidP="00BB0EDF">
            <w:pPr>
              <w:autoSpaceDE w:val="0"/>
              <w:autoSpaceDN w:val="0"/>
              <w:adjustRightInd w:val="0"/>
              <w:contextualSpacing/>
              <w:rPr>
                <w:rFonts w:ascii="Arial" w:hAnsi="Arial" w:cs="Arial"/>
                <w:sz w:val="24"/>
              </w:rPr>
            </w:pPr>
            <w:r>
              <w:rPr>
                <w:rFonts w:ascii="Arial" w:hAnsi="Arial" w:cs="Arial"/>
                <w:sz w:val="24"/>
                <w:szCs w:val="24"/>
              </w:rPr>
              <w:t>N/A</w:t>
            </w:r>
          </w:p>
        </w:tc>
        <w:tc>
          <w:tcPr>
            <w:tcW w:w="3118" w:type="dxa"/>
          </w:tcPr>
          <w:p w14:paraId="77F3BD8F" w14:textId="77777777" w:rsidR="00176414" w:rsidRPr="00706A6B" w:rsidRDefault="00176414" w:rsidP="00BB0EDF">
            <w:pPr>
              <w:autoSpaceDE w:val="0"/>
              <w:autoSpaceDN w:val="0"/>
              <w:adjustRightInd w:val="0"/>
              <w:contextualSpacing/>
              <w:rPr>
                <w:rFonts w:ascii="Arial" w:hAnsi="Arial" w:cs="Arial"/>
                <w:b w:val="0"/>
                <w:bCs/>
                <w:szCs w:val="20"/>
              </w:rPr>
            </w:pPr>
            <w:r w:rsidRPr="00706A6B">
              <w:rPr>
                <w:rFonts w:ascii="Arial" w:hAnsi="Arial" w:cs="Arial"/>
                <w:b w:val="0"/>
                <w:bCs/>
                <w:szCs w:val="20"/>
              </w:rPr>
              <w:t>[hyperlink]</w:t>
            </w:r>
          </w:p>
        </w:tc>
      </w:tr>
      <w:tr w:rsidR="00176414" w14:paraId="293D111D" w14:textId="77777777" w:rsidTr="5EBCB6A4">
        <w:tc>
          <w:tcPr>
            <w:tcW w:w="7225" w:type="dxa"/>
          </w:tcPr>
          <w:p w14:paraId="33C8E7D5" w14:textId="77777777" w:rsidR="00176414" w:rsidRPr="00B275A4" w:rsidRDefault="00176414" w:rsidP="00BB0EDF">
            <w:pPr>
              <w:autoSpaceDE w:val="0"/>
              <w:autoSpaceDN w:val="0"/>
              <w:adjustRightInd w:val="0"/>
              <w:contextualSpacing/>
              <w:rPr>
                <w:rFonts w:ascii="Arial" w:hAnsi="Arial" w:cs="Arial"/>
                <w:sz w:val="24"/>
                <w:szCs w:val="24"/>
              </w:rPr>
            </w:pPr>
            <w:r w:rsidRPr="006846FE">
              <w:rPr>
                <w:rFonts w:ascii="Arial" w:hAnsi="Arial" w:cs="Arial"/>
                <w:b w:val="0"/>
                <w:bCs/>
                <w:sz w:val="24"/>
                <w:szCs w:val="24"/>
              </w:rPr>
              <w:t xml:space="preserve">ICO Approved </w:t>
            </w:r>
            <w:hyperlink r:id="rId45">
              <w:r w:rsidRPr="437D3521">
                <w:rPr>
                  <w:rStyle w:val="Hyperlink"/>
                  <w:rFonts w:ascii="Arial" w:hAnsi="Arial" w:cs="Arial"/>
                  <w:sz w:val="24"/>
                  <w:szCs w:val="24"/>
                </w:rPr>
                <w:t>Binding Corporate Rules</w:t>
              </w:r>
            </w:hyperlink>
            <w:r w:rsidRPr="437D3521">
              <w:rPr>
                <w:rFonts w:ascii="Arial" w:hAnsi="Arial" w:cs="Arial"/>
                <w:sz w:val="24"/>
                <w:szCs w:val="24"/>
              </w:rPr>
              <w:t xml:space="preserve"> </w:t>
            </w:r>
            <w:r w:rsidRPr="006846FE">
              <w:rPr>
                <w:rFonts w:ascii="Arial" w:hAnsi="Arial" w:cs="Arial"/>
                <w:b w:val="0"/>
                <w:bCs/>
                <w:sz w:val="24"/>
                <w:szCs w:val="24"/>
              </w:rPr>
              <w:t>in place</w:t>
            </w:r>
          </w:p>
        </w:tc>
        <w:tc>
          <w:tcPr>
            <w:tcW w:w="3260" w:type="dxa"/>
          </w:tcPr>
          <w:p w14:paraId="3D72B6E3" w14:textId="77777777" w:rsidR="00176414" w:rsidRPr="00D1534C" w:rsidRDefault="008D6733" w:rsidP="00BB0EDF">
            <w:pPr>
              <w:autoSpaceDE w:val="0"/>
              <w:autoSpaceDN w:val="0"/>
              <w:adjustRightInd w:val="0"/>
              <w:contextualSpacing/>
              <w:rPr>
                <w:rFonts w:ascii="Arial" w:hAnsi="Arial" w:cs="Arial"/>
                <w:sz w:val="24"/>
                <w:szCs w:val="24"/>
              </w:rPr>
            </w:pPr>
            <w:r>
              <w:rPr>
                <w:rFonts w:ascii="Arial" w:hAnsi="Arial" w:cs="Arial"/>
                <w:sz w:val="24"/>
                <w:szCs w:val="24"/>
              </w:rPr>
              <w:t>N/A</w:t>
            </w:r>
          </w:p>
        </w:tc>
        <w:tc>
          <w:tcPr>
            <w:tcW w:w="3118" w:type="dxa"/>
          </w:tcPr>
          <w:p w14:paraId="74DEFA81" w14:textId="77777777" w:rsidR="00176414" w:rsidRPr="00D1534C" w:rsidRDefault="0098055A" w:rsidP="00BB0EDF">
            <w:pPr>
              <w:autoSpaceDE w:val="0"/>
              <w:autoSpaceDN w:val="0"/>
              <w:adjustRightInd w:val="0"/>
              <w:contextualSpacing/>
              <w:rPr>
                <w:rFonts w:ascii="Arial" w:hAnsi="Arial" w:cs="Arial"/>
                <w:sz w:val="24"/>
              </w:rPr>
            </w:pPr>
            <w:r w:rsidRPr="00706A6B">
              <w:rPr>
                <w:rFonts w:ascii="Arial" w:hAnsi="Arial" w:cs="Arial"/>
                <w:b w:val="0"/>
                <w:bCs/>
                <w:szCs w:val="20"/>
              </w:rPr>
              <w:t>[hyperlink]</w:t>
            </w:r>
          </w:p>
        </w:tc>
      </w:tr>
      <w:tr w:rsidR="00176414" w14:paraId="026EB6E6" w14:textId="77777777" w:rsidTr="5EBCB6A4">
        <w:tc>
          <w:tcPr>
            <w:tcW w:w="7225" w:type="dxa"/>
          </w:tcPr>
          <w:p w14:paraId="26C64EE4" w14:textId="77777777" w:rsidR="00176414" w:rsidRPr="00D1534C" w:rsidRDefault="00176414" w:rsidP="00BB0EDF">
            <w:pPr>
              <w:autoSpaceDE w:val="0"/>
              <w:autoSpaceDN w:val="0"/>
              <w:adjustRightInd w:val="0"/>
              <w:contextualSpacing/>
              <w:rPr>
                <w:rFonts w:ascii="Arial" w:hAnsi="Arial" w:cs="Arial"/>
                <w:sz w:val="24"/>
              </w:rPr>
            </w:pPr>
            <w:r w:rsidRPr="006846FE">
              <w:rPr>
                <w:rFonts w:ascii="Arial" w:hAnsi="Arial" w:cs="Arial"/>
                <w:b w:val="0"/>
                <w:bCs/>
                <w:sz w:val="24"/>
              </w:rPr>
              <w:t>The receiving organisation in a 3rd country is bound by an approved</w:t>
            </w:r>
            <w:r w:rsidRPr="00D1534C">
              <w:rPr>
                <w:rFonts w:ascii="Arial" w:hAnsi="Arial" w:cs="Arial"/>
                <w:sz w:val="24"/>
              </w:rPr>
              <w:t xml:space="preserve"> Code of Conduct </w:t>
            </w:r>
            <w:r w:rsidRPr="006846FE">
              <w:rPr>
                <w:rFonts w:ascii="Arial" w:hAnsi="Arial" w:cs="Arial"/>
                <w:b w:val="0"/>
                <w:bCs/>
                <w:sz w:val="24"/>
              </w:rPr>
              <w:t xml:space="preserve">recognised by </w:t>
            </w:r>
            <w:r w:rsidR="00177DF7" w:rsidRPr="006846FE">
              <w:rPr>
                <w:rFonts w:ascii="Arial" w:hAnsi="Arial" w:cs="Arial"/>
                <w:b w:val="0"/>
                <w:bCs/>
                <w:sz w:val="24"/>
              </w:rPr>
              <w:t>U</w:t>
            </w:r>
            <w:r w:rsidR="00B10B95" w:rsidRPr="006846FE">
              <w:rPr>
                <w:rFonts w:ascii="Arial" w:hAnsi="Arial" w:cs="Arial"/>
                <w:b w:val="0"/>
                <w:bCs/>
                <w:sz w:val="24"/>
              </w:rPr>
              <w:t>K</w:t>
            </w:r>
          </w:p>
        </w:tc>
        <w:tc>
          <w:tcPr>
            <w:tcW w:w="3260" w:type="dxa"/>
          </w:tcPr>
          <w:p w14:paraId="20CD5400" w14:textId="77777777" w:rsidR="00542FB8" w:rsidRDefault="008D6733" w:rsidP="00542FB8">
            <w:pPr>
              <w:autoSpaceDE w:val="0"/>
              <w:autoSpaceDN w:val="0"/>
              <w:adjustRightInd w:val="0"/>
              <w:contextualSpacing/>
              <w:rPr>
                <w:rFonts w:ascii="Arial" w:hAnsi="Arial" w:cs="Arial"/>
                <w:b w:val="0"/>
                <w:bCs/>
                <w:sz w:val="20"/>
                <w:szCs w:val="20"/>
              </w:rPr>
            </w:pPr>
            <w:r>
              <w:rPr>
                <w:rFonts w:ascii="Arial" w:hAnsi="Arial" w:cs="Arial"/>
                <w:sz w:val="24"/>
                <w:szCs w:val="24"/>
              </w:rPr>
              <w:t>N/A</w:t>
            </w:r>
          </w:p>
          <w:p w14:paraId="001C4F4F" w14:textId="77777777" w:rsidR="00176414" w:rsidRPr="00D1534C" w:rsidRDefault="00176414" w:rsidP="00BB0EDF">
            <w:pPr>
              <w:autoSpaceDE w:val="0"/>
              <w:autoSpaceDN w:val="0"/>
              <w:adjustRightInd w:val="0"/>
              <w:contextualSpacing/>
              <w:rPr>
                <w:rFonts w:ascii="Arial" w:hAnsi="Arial" w:cs="Arial"/>
                <w:sz w:val="24"/>
              </w:rPr>
            </w:pPr>
          </w:p>
        </w:tc>
        <w:tc>
          <w:tcPr>
            <w:tcW w:w="3118" w:type="dxa"/>
          </w:tcPr>
          <w:p w14:paraId="591B2BDE" w14:textId="77777777" w:rsidR="00176414" w:rsidRPr="00D1534C" w:rsidRDefault="00542FB8" w:rsidP="00BB0EDF">
            <w:pPr>
              <w:autoSpaceDE w:val="0"/>
              <w:autoSpaceDN w:val="0"/>
              <w:adjustRightInd w:val="0"/>
              <w:contextualSpacing/>
              <w:rPr>
                <w:rFonts w:ascii="Arial" w:hAnsi="Arial" w:cs="Arial"/>
                <w:sz w:val="24"/>
              </w:rPr>
            </w:pPr>
            <w:r w:rsidRPr="00706A6B">
              <w:rPr>
                <w:rFonts w:ascii="Arial" w:hAnsi="Arial" w:cs="Arial"/>
                <w:b w:val="0"/>
                <w:bCs/>
                <w:szCs w:val="20"/>
              </w:rPr>
              <w:t>[hyperlink]</w:t>
            </w:r>
          </w:p>
        </w:tc>
      </w:tr>
    </w:tbl>
    <w:p w14:paraId="6C6B4FD9" w14:textId="77777777" w:rsidR="00176414" w:rsidRDefault="00176414" w:rsidP="006D6A89">
      <w:pPr>
        <w:spacing w:after="0"/>
        <w:rPr>
          <w:rFonts w:ascii="Arial" w:hAnsi="Arial" w:cs="Arial"/>
          <w:sz w:val="24"/>
          <w:szCs w:val="24"/>
        </w:rPr>
      </w:pPr>
    </w:p>
    <w:p w14:paraId="6BE31DCF" w14:textId="77777777" w:rsidR="006D6A89" w:rsidRDefault="006D6A89" w:rsidP="006D6A89">
      <w:pPr>
        <w:autoSpaceDE w:val="0"/>
        <w:autoSpaceDN w:val="0"/>
        <w:adjustRightInd w:val="0"/>
        <w:rPr>
          <w:rFonts w:ascii="Arial" w:hAnsi="Arial" w:cs="Arial"/>
          <w:b/>
          <w:color w:val="FF0000"/>
        </w:rPr>
      </w:pPr>
      <w:r w:rsidRPr="006D6A89">
        <w:rPr>
          <w:rFonts w:ascii="Arial" w:hAnsi="Arial" w:cs="Arial"/>
          <w:b/>
        </w:rPr>
        <w:t xml:space="preserve">ICO guidance on International Transfers can be found at </w:t>
      </w:r>
      <w:hyperlink r:id="rId46" w:history="1">
        <w:r w:rsidRPr="006D6A89">
          <w:rPr>
            <w:rStyle w:val="Hyperlink"/>
            <w:rFonts w:ascii="Arial" w:hAnsi="Arial" w:cs="Arial"/>
            <w:b/>
          </w:rPr>
          <w:t>https://ico.org.uk/for-organisations/guide-to-the-general-data-protection-regulation-gdpr/international-transfers/</w:t>
        </w:r>
      </w:hyperlink>
      <w:r w:rsidRPr="006D6A89">
        <w:rPr>
          <w:rFonts w:ascii="Arial" w:hAnsi="Arial" w:cs="Arial"/>
          <w:b/>
          <w:color w:val="FF0000"/>
        </w:rPr>
        <w:t xml:space="preserve"> </w:t>
      </w:r>
    </w:p>
    <w:p w14:paraId="02FB8736" w14:textId="77777777" w:rsidR="003F7369" w:rsidRDefault="003F7369" w:rsidP="006D6A89">
      <w:pPr>
        <w:autoSpaceDE w:val="0"/>
        <w:autoSpaceDN w:val="0"/>
        <w:adjustRightInd w:val="0"/>
        <w:rPr>
          <w:rFonts w:ascii="Arial" w:hAnsi="Arial" w:cs="Arial"/>
          <w:b/>
          <w:color w:val="FF0000"/>
        </w:rPr>
      </w:pPr>
    </w:p>
    <w:p w14:paraId="067EE395" w14:textId="77777777" w:rsidR="003F7369" w:rsidRDefault="003F7369" w:rsidP="006D6A89">
      <w:pPr>
        <w:autoSpaceDE w:val="0"/>
        <w:autoSpaceDN w:val="0"/>
        <w:adjustRightInd w:val="0"/>
        <w:rPr>
          <w:rFonts w:ascii="Arial" w:hAnsi="Arial" w:cs="Arial"/>
          <w:b/>
          <w:color w:val="FF0000"/>
        </w:rPr>
      </w:pPr>
    </w:p>
    <w:p w14:paraId="4CED911D" w14:textId="77777777" w:rsidR="003F7369" w:rsidRDefault="003F7369" w:rsidP="006D6A89">
      <w:pPr>
        <w:autoSpaceDE w:val="0"/>
        <w:autoSpaceDN w:val="0"/>
        <w:adjustRightInd w:val="0"/>
        <w:rPr>
          <w:rFonts w:ascii="Arial" w:hAnsi="Arial" w:cs="Arial"/>
          <w:b/>
          <w:color w:val="FF0000"/>
        </w:rPr>
      </w:pPr>
    </w:p>
    <w:p w14:paraId="50E4E908" w14:textId="77777777" w:rsidR="003F7369" w:rsidRPr="006D6A89" w:rsidRDefault="003F7369" w:rsidP="006D6A89">
      <w:pPr>
        <w:autoSpaceDE w:val="0"/>
        <w:autoSpaceDN w:val="0"/>
        <w:adjustRightInd w:val="0"/>
        <w:rPr>
          <w:rFonts w:ascii="Arial" w:hAnsi="Arial" w:cs="Arial"/>
          <w:i/>
        </w:rPr>
      </w:pPr>
    </w:p>
    <w:p w14:paraId="78CCAAD9" w14:textId="77777777"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lastRenderedPageBreak/>
        <w:t>8</w:t>
      </w:r>
      <w:r w:rsidR="00483784" w:rsidRPr="00594131">
        <w:rPr>
          <w:rStyle w:val="Hyperlink"/>
          <w:rFonts w:ascii="Calibri" w:eastAsia="Calibri" w:hAnsi="Calibri"/>
          <w:b w:val="0"/>
          <w:bCs w:val="0"/>
          <w:color w:val="auto"/>
          <w:sz w:val="52"/>
          <w:szCs w:val="24"/>
        </w:rPr>
        <w:t>. Format &amp; Frequency</w:t>
      </w:r>
    </w:p>
    <w:p w14:paraId="5EC349F4" w14:textId="77777777"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3304BA">
        <w:rPr>
          <w:rFonts w:ascii="Arial" w:hAnsi="Arial" w:cs="Arial"/>
          <w:b/>
          <w:color w:val="000000" w:themeColor="text1"/>
          <w:sz w:val="24"/>
        </w:rPr>
        <w:t>.csv</w:t>
      </w:r>
      <w:r w:rsidR="008D6733">
        <w:rPr>
          <w:rFonts w:ascii="Arial" w:hAnsi="Arial" w:cs="Arial"/>
          <w:b/>
          <w:color w:val="000000" w:themeColor="text1"/>
          <w:sz w:val="24"/>
        </w:rPr>
        <w:t xml:space="preserve"> </w:t>
      </w:r>
      <w:r w:rsidR="008D6733" w:rsidRPr="008D6733">
        <w:rPr>
          <w:rFonts w:ascii="Arial" w:hAnsi="Arial" w:cs="Arial"/>
          <w:b/>
          <w:color w:val="000000" w:themeColor="text1"/>
          <w:sz w:val="24"/>
        </w:rPr>
        <w:t>files via SFTP and HTTPS</w:t>
      </w:r>
    </w:p>
    <w:p w14:paraId="04F9110D" w14:textId="77777777"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3304BA">
        <w:rPr>
          <w:rFonts w:ascii="Arial" w:hAnsi="Arial" w:cs="Arial"/>
          <w:b/>
          <w:color w:val="000000" w:themeColor="text1"/>
          <w:sz w:val="24"/>
        </w:rPr>
        <w:t>one-off</w:t>
      </w:r>
    </w:p>
    <w:p w14:paraId="620FD96A"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1514B278" w14:textId="324B6307"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3304BA">
        <w:rPr>
          <w:rFonts w:ascii="Arial" w:hAnsi="Arial" w:cs="Arial"/>
          <w:b/>
          <w:color w:val="000000" w:themeColor="text1"/>
          <w:sz w:val="24"/>
        </w:rPr>
        <w:t>Snowflake</w:t>
      </w:r>
      <w:r w:rsidR="00442030">
        <w:rPr>
          <w:rFonts w:ascii="Arial" w:hAnsi="Arial" w:cs="Arial"/>
          <w:b/>
          <w:color w:val="000000" w:themeColor="text1"/>
          <w:sz w:val="24"/>
        </w:rPr>
        <w:t>/Microsoft Azure</w:t>
      </w:r>
    </w:p>
    <w:p w14:paraId="560F5BD7" w14:textId="77777777"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Pr="00990D5C">
        <w:rPr>
          <w:rFonts w:ascii="Arial" w:hAnsi="Arial" w:cs="Arial"/>
        </w:rPr>
        <w:t xml:space="preserve"> </w:t>
      </w:r>
      <w:r w:rsidRPr="00990D5C">
        <w:rPr>
          <w:rFonts w:ascii="Arial" w:hAnsi="Arial" w:cs="Arial"/>
          <w:b/>
          <w:sz w:val="24"/>
        </w:rPr>
        <w:t xml:space="preserve"> </w:t>
      </w:r>
      <w:r w:rsidR="003304BA">
        <w:rPr>
          <w:rFonts w:ascii="Arial" w:hAnsi="Arial" w:cs="Arial"/>
          <w:b/>
          <w:color w:val="000000" w:themeColor="text1"/>
          <w:sz w:val="24"/>
        </w:rPr>
        <w:t>MSEFT</w:t>
      </w:r>
    </w:p>
    <w:p w14:paraId="2643346E" w14:textId="77777777"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7B3F13F5" w14:textId="77777777"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3DEDA074" w14:textId="77777777"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6031651F" w14:textId="77777777"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8D6733">
            <w:rPr>
              <w:rFonts w:ascii="MS Gothic" w:eastAsia="MS Gothic" w:hAnsi="MS Gothic" w:cs="Arial" w:hint="eastAsia"/>
              <w:b/>
              <w:sz w:val="28"/>
            </w:rPr>
            <w:t>☒</w:t>
          </w:r>
        </w:sdtContent>
      </w:sdt>
    </w:p>
    <w:p w14:paraId="62012E13" w14:textId="77777777"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62518A9B" w14:textId="7777777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6D3F583D" w14:textId="77777777"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lastRenderedPageBreak/>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322906A2" w14:textId="77777777"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6AF05309" w14:textId="77777777"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0AE6679"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5D9E0081" w14:textId="77777777"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118638D2" w14:textId="77777777"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653E8F9A" w14:textId="77777777"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2C17F371" w14:textId="77777777"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2DE3107E" w14:textId="77777777"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7AFC6E76" w14:textId="77777777"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p w14:paraId="4126AA04" w14:textId="77777777" w:rsidR="00281C96" w:rsidRPr="005F200F" w:rsidRDefault="00281C96" w:rsidP="00281C96">
      <w:pPr>
        <w:rPr>
          <w:rFonts w:ascii="Arial" w:eastAsia="Times New Roman" w:hAnsi="Arial" w:cs="Arial"/>
          <w:b/>
          <w:sz w:val="28"/>
        </w:rPr>
      </w:pPr>
    </w:p>
    <w:p w14:paraId="03552CC1" w14:textId="77777777" w:rsidR="000E1754" w:rsidRDefault="000E1754" w:rsidP="00776851"/>
    <w:tbl>
      <w:tblPr>
        <w:tblStyle w:val="TableGrid"/>
        <w:tblW w:w="0" w:type="auto"/>
        <w:tblLook w:val="04A0" w:firstRow="1" w:lastRow="0" w:firstColumn="1" w:lastColumn="0" w:noHBand="0" w:noVBand="1"/>
      </w:tblPr>
      <w:tblGrid>
        <w:gridCol w:w="6974"/>
        <w:gridCol w:w="6974"/>
      </w:tblGrid>
      <w:tr w:rsidR="000E1754" w14:paraId="714F3DF3" w14:textId="77777777" w:rsidTr="000E1754">
        <w:tc>
          <w:tcPr>
            <w:tcW w:w="6974" w:type="dxa"/>
            <w:shd w:val="clear" w:color="auto" w:fill="244061" w:themeFill="accent1" w:themeFillShade="80"/>
            <w:vAlign w:val="center"/>
          </w:tcPr>
          <w:p w14:paraId="75A29EA8" w14:textId="77777777"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7AAD9C39" w14:textId="77777777" w:rsidR="000E1754" w:rsidRPr="000E1754" w:rsidRDefault="000E1754" w:rsidP="00776851">
            <w:pPr>
              <w:rPr>
                <w:sz w:val="28"/>
                <w:szCs w:val="28"/>
              </w:rPr>
            </w:pPr>
          </w:p>
        </w:tc>
      </w:tr>
      <w:tr w:rsidR="000E1754" w14:paraId="41F912F9" w14:textId="77777777" w:rsidTr="00706742">
        <w:trPr>
          <w:trHeight w:val="529"/>
        </w:trPr>
        <w:tc>
          <w:tcPr>
            <w:tcW w:w="6974" w:type="dxa"/>
            <w:vAlign w:val="center"/>
          </w:tcPr>
          <w:p w14:paraId="08088E3D" w14:textId="77777777"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4B45707C" w14:textId="52FC9EB8" w:rsidR="000E1754" w:rsidRDefault="00706742" w:rsidP="00776851">
            <w:r>
              <w:t>Essex County Council</w:t>
            </w:r>
          </w:p>
        </w:tc>
      </w:tr>
      <w:tr w:rsidR="000E1754" w14:paraId="4CDF5DCB" w14:textId="77777777" w:rsidTr="000E1754">
        <w:tc>
          <w:tcPr>
            <w:tcW w:w="6974" w:type="dxa"/>
            <w:vAlign w:val="center"/>
          </w:tcPr>
          <w:p w14:paraId="0B59B0B4" w14:textId="77777777"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0ADC9F7E" w14:textId="5A14C93F" w:rsidR="000E1754" w:rsidRDefault="00706742" w:rsidP="00776851">
            <w:r>
              <w:t>Senior Information Risk Officer</w:t>
            </w:r>
          </w:p>
        </w:tc>
      </w:tr>
      <w:tr w:rsidR="000E1754" w14:paraId="044B23DC" w14:textId="77777777" w:rsidTr="000E1754">
        <w:tc>
          <w:tcPr>
            <w:tcW w:w="6974" w:type="dxa"/>
            <w:vAlign w:val="center"/>
          </w:tcPr>
          <w:p w14:paraId="301E175A" w14:textId="77777777" w:rsidR="000E1754" w:rsidRPr="000E1754" w:rsidRDefault="000E1754" w:rsidP="000E1754">
            <w:pPr>
              <w:spacing w:line="480" w:lineRule="auto"/>
              <w:rPr>
                <w:sz w:val="28"/>
                <w:szCs w:val="28"/>
              </w:rPr>
            </w:pPr>
            <w:r w:rsidRPr="000E1754">
              <w:rPr>
                <w:sz w:val="28"/>
                <w:szCs w:val="28"/>
              </w:rPr>
              <w:t>Name of Lead Signatory</w:t>
            </w:r>
          </w:p>
        </w:tc>
        <w:tc>
          <w:tcPr>
            <w:tcW w:w="6974" w:type="dxa"/>
            <w:vAlign w:val="center"/>
          </w:tcPr>
          <w:p w14:paraId="0D72B309" w14:textId="5FD5921D" w:rsidR="000E1754" w:rsidRDefault="00706742" w:rsidP="00776851">
            <w:r>
              <w:t>Nicole Wood</w:t>
            </w:r>
          </w:p>
        </w:tc>
      </w:tr>
      <w:tr w:rsidR="000E1754" w14:paraId="129631EE" w14:textId="77777777" w:rsidTr="000E1754">
        <w:tc>
          <w:tcPr>
            <w:tcW w:w="6974" w:type="dxa"/>
            <w:vAlign w:val="center"/>
          </w:tcPr>
          <w:p w14:paraId="51AB5C41" w14:textId="77777777"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35FEFF55" w14:textId="6FCACC59" w:rsidR="000E1754" w:rsidRDefault="00706742" w:rsidP="00776851">
            <w:r>
              <w:t>06.06.2022</w:t>
            </w:r>
          </w:p>
        </w:tc>
      </w:tr>
      <w:tr w:rsidR="00706742" w:rsidRPr="000E1754" w14:paraId="5CB7624D" w14:textId="77777777" w:rsidTr="001514AC">
        <w:tc>
          <w:tcPr>
            <w:tcW w:w="6974" w:type="dxa"/>
            <w:shd w:val="clear" w:color="auto" w:fill="244061" w:themeFill="accent1" w:themeFillShade="80"/>
            <w:vAlign w:val="center"/>
          </w:tcPr>
          <w:p w14:paraId="71EC75A4" w14:textId="77777777" w:rsidR="00706742" w:rsidRPr="000E1754" w:rsidRDefault="00706742" w:rsidP="001514AC">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176A1BC0" w14:textId="77777777" w:rsidR="00706742" w:rsidRPr="000E1754" w:rsidRDefault="00706742" w:rsidP="001514AC">
            <w:pPr>
              <w:rPr>
                <w:sz w:val="28"/>
                <w:szCs w:val="28"/>
              </w:rPr>
            </w:pPr>
          </w:p>
        </w:tc>
      </w:tr>
      <w:tr w:rsidR="00706742" w14:paraId="11B9FB4D" w14:textId="77777777" w:rsidTr="001514AC">
        <w:tc>
          <w:tcPr>
            <w:tcW w:w="6974" w:type="dxa"/>
            <w:vAlign w:val="center"/>
          </w:tcPr>
          <w:p w14:paraId="0242FDBE" w14:textId="77777777" w:rsidR="00706742" w:rsidRPr="000E1754" w:rsidRDefault="00706742" w:rsidP="001514AC">
            <w:pPr>
              <w:spacing w:line="480" w:lineRule="auto"/>
              <w:rPr>
                <w:sz w:val="28"/>
                <w:szCs w:val="28"/>
              </w:rPr>
            </w:pPr>
            <w:r w:rsidRPr="000E1754">
              <w:rPr>
                <w:sz w:val="28"/>
                <w:szCs w:val="28"/>
              </w:rPr>
              <w:t>Lead Organisation</w:t>
            </w:r>
          </w:p>
        </w:tc>
        <w:tc>
          <w:tcPr>
            <w:tcW w:w="6974" w:type="dxa"/>
            <w:vAlign w:val="center"/>
          </w:tcPr>
          <w:p w14:paraId="5F0D065D" w14:textId="4BC35AEE" w:rsidR="00706742" w:rsidRDefault="00706742" w:rsidP="001514AC">
            <w:r>
              <w:t>Essex County Council</w:t>
            </w:r>
          </w:p>
        </w:tc>
      </w:tr>
      <w:tr w:rsidR="00706742" w14:paraId="71306817" w14:textId="77777777" w:rsidTr="001514AC">
        <w:tc>
          <w:tcPr>
            <w:tcW w:w="6974" w:type="dxa"/>
            <w:vAlign w:val="center"/>
          </w:tcPr>
          <w:p w14:paraId="26EA7777" w14:textId="77777777" w:rsidR="00706742" w:rsidRPr="000E1754" w:rsidRDefault="00706742" w:rsidP="001514AC">
            <w:pPr>
              <w:spacing w:line="480" w:lineRule="auto"/>
              <w:rPr>
                <w:sz w:val="28"/>
                <w:szCs w:val="28"/>
              </w:rPr>
            </w:pPr>
            <w:r w:rsidRPr="000E1754">
              <w:rPr>
                <w:sz w:val="28"/>
                <w:szCs w:val="28"/>
              </w:rPr>
              <w:t>Role of Lead Signatory</w:t>
            </w:r>
          </w:p>
        </w:tc>
        <w:tc>
          <w:tcPr>
            <w:tcW w:w="6974" w:type="dxa"/>
            <w:vAlign w:val="center"/>
          </w:tcPr>
          <w:p w14:paraId="0BF5D671" w14:textId="774D831D" w:rsidR="00706742" w:rsidRDefault="00706742" w:rsidP="001514AC">
            <w:r>
              <w:t>Director of Adults Services</w:t>
            </w:r>
          </w:p>
        </w:tc>
      </w:tr>
      <w:tr w:rsidR="00706742" w14:paraId="07EC1A97" w14:textId="77777777" w:rsidTr="001514AC">
        <w:tc>
          <w:tcPr>
            <w:tcW w:w="6974" w:type="dxa"/>
            <w:vAlign w:val="center"/>
          </w:tcPr>
          <w:p w14:paraId="69163FA7" w14:textId="77777777" w:rsidR="00706742" w:rsidRPr="000E1754" w:rsidRDefault="00706742" w:rsidP="001514AC">
            <w:pPr>
              <w:spacing w:line="480" w:lineRule="auto"/>
              <w:rPr>
                <w:sz w:val="28"/>
                <w:szCs w:val="28"/>
              </w:rPr>
            </w:pPr>
            <w:r w:rsidRPr="000E1754">
              <w:rPr>
                <w:sz w:val="28"/>
                <w:szCs w:val="28"/>
              </w:rPr>
              <w:t>Name of Lead Signatory</w:t>
            </w:r>
          </w:p>
        </w:tc>
        <w:tc>
          <w:tcPr>
            <w:tcW w:w="6974" w:type="dxa"/>
            <w:vAlign w:val="center"/>
          </w:tcPr>
          <w:p w14:paraId="1594C8E8" w14:textId="6AA3B55B" w:rsidR="00706742" w:rsidRDefault="00706742" w:rsidP="001514AC">
            <w:r>
              <w:t>Nick Presmeg</w:t>
            </w:r>
          </w:p>
        </w:tc>
      </w:tr>
      <w:tr w:rsidR="00706742" w14:paraId="57EDCC66" w14:textId="77777777" w:rsidTr="001514AC">
        <w:tc>
          <w:tcPr>
            <w:tcW w:w="6974" w:type="dxa"/>
            <w:vAlign w:val="center"/>
          </w:tcPr>
          <w:p w14:paraId="07C4D013" w14:textId="77777777" w:rsidR="00706742" w:rsidRPr="000E1754" w:rsidRDefault="00706742" w:rsidP="001514AC">
            <w:pPr>
              <w:spacing w:line="480" w:lineRule="auto"/>
              <w:rPr>
                <w:sz w:val="28"/>
                <w:szCs w:val="28"/>
              </w:rPr>
            </w:pPr>
            <w:r w:rsidRPr="000E1754">
              <w:rPr>
                <w:sz w:val="28"/>
                <w:szCs w:val="28"/>
              </w:rPr>
              <w:t>Date</w:t>
            </w:r>
          </w:p>
        </w:tc>
        <w:tc>
          <w:tcPr>
            <w:tcW w:w="6974" w:type="dxa"/>
            <w:vAlign w:val="center"/>
          </w:tcPr>
          <w:p w14:paraId="246F2BBE" w14:textId="763EDE37" w:rsidR="00706742" w:rsidRDefault="00706742" w:rsidP="001514AC">
            <w:r>
              <w:t>16.06.2022</w:t>
            </w:r>
          </w:p>
        </w:tc>
      </w:tr>
      <w:tr w:rsidR="000E1754" w14:paraId="6BDB871B" w14:textId="77777777" w:rsidTr="000E1754">
        <w:tc>
          <w:tcPr>
            <w:tcW w:w="6974" w:type="dxa"/>
            <w:shd w:val="clear" w:color="auto" w:fill="244061" w:themeFill="accent1" w:themeFillShade="80"/>
            <w:vAlign w:val="center"/>
          </w:tcPr>
          <w:p w14:paraId="270626F8" w14:textId="77777777"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3211B1B7" w14:textId="77777777" w:rsidR="000E1754" w:rsidRDefault="000E1754" w:rsidP="00776851"/>
        </w:tc>
      </w:tr>
      <w:tr w:rsidR="000E1754" w14:paraId="2790FB06" w14:textId="77777777" w:rsidTr="000E1754">
        <w:tc>
          <w:tcPr>
            <w:tcW w:w="6974" w:type="dxa"/>
            <w:vAlign w:val="center"/>
          </w:tcPr>
          <w:p w14:paraId="5FDAF78A" w14:textId="77777777"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6E575627" w14:textId="12576AC5" w:rsidR="000E1754" w:rsidRDefault="00D270C7" w:rsidP="00776851">
            <w:r>
              <w:t>Mid and South Essex NHS Foundation Trust</w:t>
            </w:r>
          </w:p>
        </w:tc>
      </w:tr>
      <w:tr w:rsidR="000E1754" w14:paraId="02885D62" w14:textId="77777777" w:rsidTr="000E1754">
        <w:tc>
          <w:tcPr>
            <w:tcW w:w="6974" w:type="dxa"/>
            <w:vAlign w:val="center"/>
          </w:tcPr>
          <w:p w14:paraId="7FFADB89" w14:textId="77777777" w:rsidR="000E1754" w:rsidRPr="000E1754" w:rsidRDefault="000E1754" w:rsidP="000E1754">
            <w:pPr>
              <w:spacing w:line="480" w:lineRule="auto"/>
              <w:rPr>
                <w:sz w:val="28"/>
                <w:szCs w:val="28"/>
              </w:rPr>
            </w:pPr>
            <w:r w:rsidRPr="000E1754">
              <w:rPr>
                <w:sz w:val="28"/>
                <w:szCs w:val="28"/>
              </w:rPr>
              <w:t>Role of Partner Signatory</w:t>
            </w:r>
          </w:p>
        </w:tc>
        <w:tc>
          <w:tcPr>
            <w:tcW w:w="6974" w:type="dxa"/>
            <w:vAlign w:val="center"/>
          </w:tcPr>
          <w:p w14:paraId="55C5061D" w14:textId="7E8BEB3B" w:rsidR="000E1754" w:rsidRDefault="00D270C7" w:rsidP="00776851">
            <w:r>
              <w:t>Chief Nursing and Quality Officer</w:t>
            </w:r>
          </w:p>
        </w:tc>
      </w:tr>
      <w:tr w:rsidR="000E1754" w14:paraId="5955AC5E" w14:textId="77777777" w:rsidTr="000E1754">
        <w:tc>
          <w:tcPr>
            <w:tcW w:w="6974" w:type="dxa"/>
            <w:vAlign w:val="center"/>
          </w:tcPr>
          <w:p w14:paraId="447319B8" w14:textId="77777777" w:rsidR="000E1754" w:rsidRPr="000E1754" w:rsidRDefault="000E1754" w:rsidP="000E1754">
            <w:pPr>
              <w:spacing w:line="480" w:lineRule="auto"/>
              <w:rPr>
                <w:sz w:val="28"/>
                <w:szCs w:val="28"/>
              </w:rPr>
            </w:pPr>
            <w:r w:rsidRPr="000E1754">
              <w:rPr>
                <w:sz w:val="28"/>
                <w:szCs w:val="28"/>
              </w:rPr>
              <w:t>Name of Partner Signatory</w:t>
            </w:r>
          </w:p>
        </w:tc>
        <w:tc>
          <w:tcPr>
            <w:tcW w:w="6974" w:type="dxa"/>
            <w:vAlign w:val="center"/>
          </w:tcPr>
          <w:p w14:paraId="0EAE8CA1" w14:textId="59B36FE7" w:rsidR="000E1754" w:rsidRDefault="00D270C7" w:rsidP="00776851">
            <w:r>
              <w:t>Diane Sarkar</w:t>
            </w:r>
          </w:p>
        </w:tc>
      </w:tr>
      <w:tr w:rsidR="000E1754" w14:paraId="049899B2" w14:textId="77777777" w:rsidTr="000E1754">
        <w:tc>
          <w:tcPr>
            <w:tcW w:w="6974" w:type="dxa"/>
            <w:vAlign w:val="center"/>
          </w:tcPr>
          <w:p w14:paraId="46C26E9C" w14:textId="77777777" w:rsidR="000E1754" w:rsidRPr="000E1754" w:rsidRDefault="000E1754" w:rsidP="000E1754">
            <w:pPr>
              <w:spacing w:line="480" w:lineRule="auto"/>
              <w:rPr>
                <w:sz w:val="28"/>
                <w:szCs w:val="28"/>
              </w:rPr>
            </w:pPr>
            <w:r w:rsidRPr="000E1754">
              <w:rPr>
                <w:sz w:val="28"/>
                <w:szCs w:val="28"/>
              </w:rPr>
              <w:lastRenderedPageBreak/>
              <w:t>Date</w:t>
            </w:r>
          </w:p>
        </w:tc>
        <w:tc>
          <w:tcPr>
            <w:tcW w:w="6974" w:type="dxa"/>
            <w:vAlign w:val="center"/>
          </w:tcPr>
          <w:p w14:paraId="2C1A360F" w14:textId="01A8FA7B" w:rsidR="000E1754" w:rsidRDefault="00D270C7" w:rsidP="00776851">
            <w:r>
              <w:t>17.06.22</w:t>
            </w:r>
          </w:p>
        </w:tc>
      </w:tr>
    </w:tbl>
    <w:p w14:paraId="6D4CF6A3" w14:textId="77777777" w:rsidR="000E1754" w:rsidRDefault="000E1754" w:rsidP="00776851"/>
    <w:p w14:paraId="3C9EB52A" w14:textId="77777777" w:rsidR="001C12E3" w:rsidRPr="00455703" w:rsidRDefault="001C12E3" w:rsidP="00776851">
      <w:pPr>
        <w:rPr>
          <w:sz w:val="40"/>
          <w:szCs w:val="40"/>
        </w:rPr>
      </w:pPr>
      <w:r w:rsidRPr="00455703">
        <w:rPr>
          <w:sz w:val="40"/>
          <w:szCs w:val="40"/>
        </w:rPr>
        <w:t xml:space="preserve">Signed Protocols, or emails of approval should be sent to the Lead Organisation at: </w:t>
      </w:r>
      <w:r w:rsidR="008D6733">
        <w:rPr>
          <w:sz w:val="40"/>
          <w:szCs w:val="40"/>
        </w:rPr>
        <w:t>dpo@essex.gov.uk</w:t>
      </w:r>
    </w:p>
    <w:sectPr w:rsidR="001C12E3" w:rsidRPr="00455703" w:rsidSect="00706742">
      <w:headerReference w:type="even" r:id="rId47"/>
      <w:headerReference w:type="default" r:id="rId48"/>
      <w:footerReference w:type="even" r:id="rId49"/>
      <w:footerReference w:type="default" r:id="rId50"/>
      <w:headerReference w:type="first" r:id="rId51"/>
      <w:footerReference w:type="first" r:id="rId52"/>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C4A2" w14:textId="77777777" w:rsidR="00D90C30" w:rsidRDefault="00D90C30" w:rsidP="00CF0AF3">
      <w:pPr>
        <w:spacing w:after="0" w:line="240" w:lineRule="auto"/>
      </w:pPr>
      <w:r>
        <w:separator/>
      </w:r>
    </w:p>
  </w:endnote>
  <w:endnote w:type="continuationSeparator" w:id="0">
    <w:p w14:paraId="739D69FE" w14:textId="77777777" w:rsidR="00D90C30" w:rsidRDefault="00D90C30" w:rsidP="00CF0AF3">
      <w:pPr>
        <w:spacing w:after="0" w:line="240" w:lineRule="auto"/>
      </w:pPr>
      <w:r>
        <w:continuationSeparator/>
      </w:r>
    </w:p>
  </w:endnote>
  <w:endnote w:type="continuationNotice" w:id="1">
    <w:p w14:paraId="657BB73D" w14:textId="77777777" w:rsidR="00D90C30" w:rsidRDefault="00D90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1016"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B809" w14:textId="77777777"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5DB"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8D59" w14:textId="77777777" w:rsidR="00D90C30" w:rsidRDefault="00D90C30" w:rsidP="00CF0AF3">
      <w:pPr>
        <w:spacing w:after="0" w:line="240" w:lineRule="auto"/>
      </w:pPr>
      <w:r>
        <w:separator/>
      </w:r>
    </w:p>
  </w:footnote>
  <w:footnote w:type="continuationSeparator" w:id="0">
    <w:p w14:paraId="1D804B20" w14:textId="77777777" w:rsidR="00D90C30" w:rsidRDefault="00D90C30" w:rsidP="00CF0AF3">
      <w:pPr>
        <w:spacing w:after="0" w:line="240" w:lineRule="auto"/>
      </w:pPr>
      <w:r>
        <w:continuationSeparator/>
      </w:r>
    </w:p>
  </w:footnote>
  <w:footnote w:type="continuationNotice" w:id="1">
    <w:p w14:paraId="63F1A87B" w14:textId="77777777" w:rsidR="00D90C30" w:rsidRDefault="00D90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CBC"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F371"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88D"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70314"/>
    <w:multiLevelType w:val="hybridMultilevel"/>
    <w:tmpl w:val="6C080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C235A"/>
    <w:multiLevelType w:val="hybridMultilevel"/>
    <w:tmpl w:val="BA1E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A086F"/>
    <w:multiLevelType w:val="hybridMultilevel"/>
    <w:tmpl w:val="5ADC2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7"/>
  </w:num>
  <w:num w:numId="6">
    <w:abstractNumId w:val="11"/>
  </w:num>
  <w:num w:numId="7">
    <w:abstractNumId w:val="13"/>
  </w:num>
  <w:num w:numId="8">
    <w:abstractNumId w:val="1"/>
  </w:num>
  <w:num w:numId="9">
    <w:abstractNumId w:val="3"/>
  </w:num>
  <w:num w:numId="10">
    <w:abstractNumId w:val="5"/>
  </w:num>
  <w:num w:numId="11">
    <w:abstractNumId w:val="2"/>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22"/>
    <w:rsid w:val="00020DE5"/>
    <w:rsid w:val="000236CE"/>
    <w:rsid w:val="00031837"/>
    <w:rsid w:val="000616A3"/>
    <w:rsid w:val="00061E49"/>
    <w:rsid w:val="00061F39"/>
    <w:rsid w:val="00063483"/>
    <w:rsid w:val="0006569A"/>
    <w:rsid w:val="00072021"/>
    <w:rsid w:val="00084F55"/>
    <w:rsid w:val="000913C4"/>
    <w:rsid w:val="000A0E60"/>
    <w:rsid w:val="000A3423"/>
    <w:rsid w:val="000A4961"/>
    <w:rsid w:val="000B4BE7"/>
    <w:rsid w:val="000C34CC"/>
    <w:rsid w:val="000D63A6"/>
    <w:rsid w:val="000E1754"/>
    <w:rsid w:val="000E7972"/>
    <w:rsid w:val="00103A63"/>
    <w:rsid w:val="001045DA"/>
    <w:rsid w:val="00116404"/>
    <w:rsid w:val="001224DC"/>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C12E3"/>
    <w:rsid w:val="001C1656"/>
    <w:rsid w:val="001C2564"/>
    <w:rsid w:val="001D1390"/>
    <w:rsid w:val="001D4FB6"/>
    <w:rsid w:val="001D5C2E"/>
    <w:rsid w:val="001F272A"/>
    <w:rsid w:val="00201CA0"/>
    <w:rsid w:val="00201FF7"/>
    <w:rsid w:val="002142A5"/>
    <w:rsid w:val="0023472B"/>
    <w:rsid w:val="00245C9A"/>
    <w:rsid w:val="00246075"/>
    <w:rsid w:val="00265083"/>
    <w:rsid w:val="0026626D"/>
    <w:rsid w:val="00281C96"/>
    <w:rsid w:val="0028372D"/>
    <w:rsid w:val="0029464B"/>
    <w:rsid w:val="00297DF8"/>
    <w:rsid w:val="002A04E6"/>
    <w:rsid w:val="002B11E5"/>
    <w:rsid w:val="002B5648"/>
    <w:rsid w:val="002B6F7D"/>
    <w:rsid w:val="002B703D"/>
    <w:rsid w:val="002C3E4D"/>
    <w:rsid w:val="002D26F1"/>
    <w:rsid w:val="002D359A"/>
    <w:rsid w:val="002F5E81"/>
    <w:rsid w:val="00300372"/>
    <w:rsid w:val="00301404"/>
    <w:rsid w:val="00303E08"/>
    <w:rsid w:val="00320C26"/>
    <w:rsid w:val="00330050"/>
    <w:rsid w:val="003304BA"/>
    <w:rsid w:val="00333A42"/>
    <w:rsid w:val="00346337"/>
    <w:rsid w:val="0035055D"/>
    <w:rsid w:val="003548CA"/>
    <w:rsid w:val="00357D8A"/>
    <w:rsid w:val="00370272"/>
    <w:rsid w:val="003760B7"/>
    <w:rsid w:val="00384228"/>
    <w:rsid w:val="003870A6"/>
    <w:rsid w:val="00387ED9"/>
    <w:rsid w:val="00390842"/>
    <w:rsid w:val="00395E1C"/>
    <w:rsid w:val="003978A4"/>
    <w:rsid w:val="003A0A0E"/>
    <w:rsid w:val="003B17AA"/>
    <w:rsid w:val="003B680D"/>
    <w:rsid w:val="003C58E4"/>
    <w:rsid w:val="003D133A"/>
    <w:rsid w:val="003D1BCC"/>
    <w:rsid w:val="003D1C7F"/>
    <w:rsid w:val="003D2D74"/>
    <w:rsid w:val="003D3AA8"/>
    <w:rsid w:val="003D4548"/>
    <w:rsid w:val="003E0600"/>
    <w:rsid w:val="003F7369"/>
    <w:rsid w:val="004065A9"/>
    <w:rsid w:val="004209F2"/>
    <w:rsid w:val="00420C22"/>
    <w:rsid w:val="00423F41"/>
    <w:rsid w:val="0042761F"/>
    <w:rsid w:val="0044006D"/>
    <w:rsid w:val="00442030"/>
    <w:rsid w:val="0044205F"/>
    <w:rsid w:val="004429AC"/>
    <w:rsid w:val="00442A9E"/>
    <w:rsid w:val="004528E9"/>
    <w:rsid w:val="00454630"/>
    <w:rsid w:val="00455703"/>
    <w:rsid w:val="00474962"/>
    <w:rsid w:val="00475430"/>
    <w:rsid w:val="00483784"/>
    <w:rsid w:val="00490195"/>
    <w:rsid w:val="004C16B2"/>
    <w:rsid w:val="004D4F1B"/>
    <w:rsid w:val="004E17A7"/>
    <w:rsid w:val="004E6A52"/>
    <w:rsid w:val="004F66DD"/>
    <w:rsid w:val="0050429B"/>
    <w:rsid w:val="005100CB"/>
    <w:rsid w:val="0051410F"/>
    <w:rsid w:val="005268D0"/>
    <w:rsid w:val="0054279D"/>
    <w:rsid w:val="00542FB8"/>
    <w:rsid w:val="00547141"/>
    <w:rsid w:val="00557AE1"/>
    <w:rsid w:val="00575033"/>
    <w:rsid w:val="00584EDA"/>
    <w:rsid w:val="005877C2"/>
    <w:rsid w:val="00591085"/>
    <w:rsid w:val="00594131"/>
    <w:rsid w:val="0059561C"/>
    <w:rsid w:val="005B6618"/>
    <w:rsid w:val="005C0275"/>
    <w:rsid w:val="005D0799"/>
    <w:rsid w:val="005E3B82"/>
    <w:rsid w:val="005F200F"/>
    <w:rsid w:val="00600617"/>
    <w:rsid w:val="006010FD"/>
    <w:rsid w:val="00607EA8"/>
    <w:rsid w:val="00614497"/>
    <w:rsid w:val="00620907"/>
    <w:rsid w:val="00627E53"/>
    <w:rsid w:val="00630E25"/>
    <w:rsid w:val="00634957"/>
    <w:rsid w:val="006468B1"/>
    <w:rsid w:val="006619ED"/>
    <w:rsid w:val="00664755"/>
    <w:rsid w:val="00665017"/>
    <w:rsid w:val="0067132E"/>
    <w:rsid w:val="0067347C"/>
    <w:rsid w:val="006752D1"/>
    <w:rsid w:val="006801A3"/>
    <w:rsid w:val="006846FE"/>
    <w:rsid w:val="00687392"/>
    <w:rsid w:val="006A17C4"/>
    <w:rsid w:val="006A44AE"/>
    <w:rsid w:val="006B4E04"/>
    <w:rsid w:val="006C0939"/>
    <w:rsid w:val="006C636F"/>
    <w:rsid w:val="006C7450"/>
    <w:rsid w:val="006D6A89"/>
    <w:rsid w:val="006F61C8"/>
    <w:rsid w:val="00701D57"/>
    <w:rsid w:val="00706705"/>
    <w:rsid w:val="00706742"/>
    <w:rsid w:val="00706A6B"/>
    <w:rsid w:val="0071108A"/>
    <w:rsid w:val="007133F8"/>
    <w:rsid w:val="00715C35"/>
    <w:rsid w:val="007205D3"/>
    <w:rsid w:val="0072514C"/>
    <w:rsid w:val="0073579A"/>
    <w:rsid w:val="00756D68"/>
    <w:rsid w:val="0077215C"/>
    <w:rsid w:val="00772304"/>
    <w:rsid w:val="007737AC"/>
    <w:rsid w:val="007742F5"/>
    <w:rsid w:val="00776851"/>
    <w:rsid w:val="00781BF5"/>
    <w:rsid w:val="007841D5"/>
    <w:rsid w:val="00784845"/>
    <w:rsid w:val="00787E95"/>
    <w:rsid w:val="00795680"/>
    <w:rsid w:val="007C3BF9"/>
    <w:rsid w:val="007D3DE4"/>
    <w:rsid w:val="007E2F6C"/>
    <w:rsid w:val="007F620C"/>
    <w:rsid w:val="00804C46"/>
    <w:rsid w:val="00807FC1"/>
    <w:rsid w:val="008139CA"/>
    <w:rsid w:val="0082166D"/>
    <w:rsid w:val="00830182"/>
    <w:rsid w:val="008310F4"/>
    <w:rsid w:val="008335C6"/>
    <w:rsid w:val="00847174"/>
    <w:rsid w:val="00880AA4"/>
    <w:rsid w:val="008869B7"/>
    <w:rsid w:val="00893153"/>
    <w:rsid w:val="00894B77"/>
    <w:rsid w:val="008A0B38"/>
    <w:rsid w:val="008A4131"/>
    <w:rsid w:val="008A6D2F"/>
    <w:rsid w:val="008B1282"/>
    <w:rsid w:val="008B14FE"/>
    <w:rsid w:val="008C5AFD"/>
    <w:rsid w:val="008D6733"/>
    <w:rsid w:val="008E41B9"/>
    <w:rsid w:val="008E7C2F"/>
    <w:rsid w:val="009063F3"/>
    <w:rsid w:val="00907F8F"/>
    <w:rsid w:val="00915122"/>
    <w:rsid w:val="00941760"/>
    <w:rsid w:val="0096618D"/>
    <w:rsid w:val="00966A50"/>
    <w:rsid w:val="00967E65"/>
    <w:rsid w:val="0098055A"/>
    <w:rsid w:val="0099034B"/>
    <w:rsid w:val="00990D5C"/>
    <w:rsid w:val="00994006"/>
    <w:rsid w:val="009C296B"/>
    <w:rsid w:val="009D11B4"/>
    <w:rsid w:val="009D6B8D"/>
    <w:rsid w:val="00A00995"/>
    <w:rsid w:val="00A20BC6"/>
    <w:rsid w:val="00A333A7"/>
    <w:rsid w:val="00A34A42"/>
    <w:rsid w:val="00A4020F"/>
    <w:rsid w:val="00A44981"/>
    <w:rsid w:val="00A501FF"/>
    <w:rsid w:val="00A6000C"/>
    <w:rsid w:val="00A60B80"/>
    <w:rsid w:val="00A82083"/>
    <w:rsid w:val="00A83D1A"/>
    <w:rsid w:val="00A926A7"/>
    <w:rsid w:val="00A97684"/>
    <w:rsid w:val="00AC291B"/>
    <w:rsid w:val="00AD3E58"/>
    <w:rsid w:val="00AE725F"/>
    <w:rsid w:val="00AF4499"/>
    <w:rsid w:val="00B052FC"/>
    <w:rsid w:val="00B10B95"/>
    <w:rsid w:val="00B2651B"/>
    <w:rsid w:val="00B275A4"/>
    <w:rsid w:val="00B47C60"/>
    <w:rsid w:val="00B530EC"/>
    <w:rsid w:val="00B563B0"/>
    <w:rsid w:val="00B566DF"/>
    <w:rsid w:val="00B60F60"/>
    <w:rsid w:val="00B6120E"/>
    <w:rsid w:val="00B90BFA"/>
    <w:rsid w:val="00B96532"/>
    <w:rsid w:val="00BA70D1"/>
    <w:rsid w:val="00BB0D2F"/>
    <w:rsid w:val="00BB292F"/>
    <w:rsid w:val="00BD2008"/>
    <w:rsid w:val="00BE6A63"/>
    <w:rsid w:val="00BE723F"/>
    <w:rsid w:val="00BF16E6"/>
    <w:rsid w:val="00BF3B8F"/>
    <w:rsid w:val="00BF4E5A"/>
    <w:rsid w:val="00C02347"/>
    <w:rsid w:val="00C1150D"/>
    <w:rsid w:val="00C40747"/>
    <w:rsid w:val="00C46A58"/>
    <w:rsid w:val="00C53F6D"/>
    <w:rsid w:val="00C55A27"/>
    <w:rsid w:val="00C60661"/>
    <w:rsid w:val="00C61162"/>
    <w:rsid w:val="00C66246"/>
    <w:rsid w:val="00C71BA8"/>
    <w:rsid w:val="00C81869"/>
    <w:rsid w:val="00C97FEA"/>
    <w:rsid w:val="00CB02D9"/>
    <w:rsid w:val="00CB7B23"/>
    <w:rsid w:val="00CC1EFE"/>
    <w:rsid w:val="00CC6579"/>
    <w:rsid w:val="00CD1AE6"/>
    <w:rsid w:val="00CD5A51"/>
    <w:rsid w:val="00CD7F89"/>
    <w:rsid w:val="00CE00DB"/>
    <w:rsid w:val="00CE31E0"/>
    <w:rsid w:val="00CF0AF3"/>
    <w:rsid w:val="00CF1298"/>
    <w:rsid w:val="00CF43F1"/>
    <w:rsid w:val="00D066ED"/>
    <w:rsid w:val="00D1534C"/>
    <w:rsid w:val="00D270C7"/>
    <w:rsid w:val="00D36E41"/>
    <w:rsid w:val="00D511B9"/>
    <w:rsid w:val="00D62DCA"/>
    <w:rsid w:val="00D6413C"/>
    <w:rsid w:val="00D90C30"/>
    <w:rsid w:val="00D97A07"/>
    <w:rsid w:val="00DC7101"/>
    <w:rsid w:val="00DD037D"/>
    <w:rsid w:val="00DE6587"/>
    <w:rsid w:val="00DE6ABA"/>
    <w:rsid w:val="00DF1BA3"/>
    <w:rsid w:val="00DF36A6"/>
    <w:rsid w:val="00DF50E5"/>
    <w:rsid w:val="00E132AB"/>
    <w:rsid w:val="00E14925"/>
    <w:rsid w:val="00E30C5F"/>
    <w:rsid w:val="00E33C00"/>
    <w:rsid w:val="00E506C7"/>
    <w:rsid w:val="00E57D61"/>
    <w:rsid w:val="00E6047F"/>
    <w:rsid w:val="00E71F96"/>
    <w:rsid w:val="00E96379"/>
    <w:rsid w:val="00EA0CB5"/>
    <w:rsid w:val="00EB10CA"/>
    <w:rsid w:val="00EB1534"/>
    <w:rsid w:val="00EC0753"/>
    <w:rsid w:val="00ED1C50"/>
    <w:rsid w:val="00ED52DC"/>
    <w:rsid w:val="00EE330F"/>
    <w:rsid w:val="00EE759C"/>
    <w:rsid w:val="00EF3A59"/>
    <w:rsid w:val="00EF6794"/>
    <w:rsid w:val="00EF7930"/>
    <w:rsid w:val="00F0762A"/>
    <w:rsid w:val="00F243F2"/>
    <w:rsid w:val="00F33542"/>
    <w:rsid w:val="00F33592"/>
    <w:rsid w:val="00F35A09"/>
    <w:rsid w:val="00F500E1"/>
    <w:rsid w:val="00F54344"/>
    <w:rsid w:val="00F562EA"/>
    <w:rsid w:val="00F61571"/>
    <w:rsid w:val="00F76975"/>
    <w:rsid w:val="00F91121"/>
    <w:rsid w:val="00F964AF"/>
    <w:rsid w:val="00F97118"/>
    <w:rsid w:val="00FA6907"/>
    <w:rsid w:val="00FA7085"/>
    <w:rsid w:val="00FA79A8"/>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98505"/>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ltphimenu/definitions-for-health-inequalities/"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hyperlink" Target="https://ico.org.uk/for-organisations/guide-to-the-general-data-protection-regulation-gdpr/individual-rights/" TargetMode="External"/><Relationship Id="rId21" Type="http://schemas.openxmlformats.org/officeDocument/2006/relationships/package" Target="embeddings/Microsoft_Excel_Worksheet3.xlsx"/><Relationship Id="rId34" Type="http://schemas.openxmlformats.org/officeDocument/2006/relationships/package" Target="embeddings/Microsoft_Excel_Worksheet9.xlsx"/><Relationship Id="rId42" Type="http://schemas.openxmlformats.org/officeDocument/2006/relationships/hyperlink" Target="https://ico.org.uk/media/for-organisations/documents/4019536/idta.doc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0.emf"/><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package" Target="embeddings/Microsoft_Excel_Worksheet8.xlsx"/><Relationship Id="rId37" Type="http://schemas.openxmlformats.org/officeDocument/2006/relationships/image" Target="media/image14.emf"/><Relationship Id="rId40" Type="http://schemas.openxmlformats.org/officeDocument/2006/relationships/hyperlink" Target="https://ec.europa.eu/info/law/law-topic/data-protection/data-transfers-outside-eu/adequacy-protection-personal-data-non-eu-countries_en" TargetMode="External"/><Relationship Id="rId45" Type="http://schemas.openxmlformats.org/officeDocument/2006/relationships/hyperlink" Target="https://icosearch.ico.org.uk/s/redirect?collection=ico-meta&amp;url=https%3A%2F%2Fico.org.uk%2Fmedia%2Ffor-organisations%2Fdocuments%2F2618639%2Fbinding-corporate-rules-at-the-end-of-the-transition-period-final-131120.pdf&amp;auth=kLXxYe3BM09XkjcwzYUzfA&amp;profile=_default&amp;rank=3&amp;query=binding+corporate+rule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package" Target="embeddings/Microsoft_Excel_Worksheet2.xlsx"/><Relationship Id="rId31" Type="http://schemas.openxmlformats.org/officeDocument/2006/relationships/image" Target="media/image11.emf"/><Relationship Id="rId44" Type="http://schemas.openxmlformats.org/officeDocument/2006/relationships/hyperlink" Target="https://ico.org.uk/media/for-organisations/documents/4019535/addendum-international-data-transfer.doc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emf"/><Relationship Id="rId30" Type="http://schemas.openxmlformats.org/officeDocument/2006/relationships/package" Target="embeddings/Microsoft_Excel_Worksheet7.xlsx"/><Relationship Id="rId35" Type="http://schemas.openxmlformats.org/officeDocument/2006/relationships/image" Target="media/image13.emf"/><Relationship Id="rId43" Type="http://schemas.openxmlformats.org/officeDocument/2006/relationships/hyperlink" Target="https://ec.europa.eu/info/law/law-topic/data-protection/international-dimension-data-protection/standard-contractual-clauses-scc/standard-contractual-clauses-international-transfers_en"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dpo@essex.gov.uk" TargetMode="Externa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image" Target="media/image12.emf"/><Relationship Id="rId38" Type="http://schemas.openxmlformats.org/officeDocument/2006/relationships/hyperlink" Target="https://ico.org.uk/for-organisations/guide-to-data-protection/guide-to-the-general-data-protection-regulation-gdpr/key-definitions/controllers-and-processors/" TargetMode="External"/><Relationship Id="rId46" Type="http://schemas.openxmlformats.org/officeDocument/2006/relationships/hyperlink" Target="https://ico.org.uk/for-organisations/guide-to-the-general-data-protection-regulation-gdpr/international-transfers/" TargetMode="External"/><Relationship Id="rId20" Type="http://schemas.openxmlformats.org/officeDocument/2006/relationships/image" Target="media/image5.emf"/><Relationship Id="rId41" Type="http://schemas.openxmlformats.org/officeDocument/2006/relationships/hyperlink" Target="https://ico.org.uk/for-organisations/dp-at-the-end-of-the-transition-period/data-protection-and-the-eu-in-detail/the-uk-gdpr/international-data-transfers/"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package" Target="embeddings/Microsoft_Excel_Worksheet6.xlsx"/><Relationship Id="rId36" Type="http://schemas.openxmlformats.org/officeDocument/2006/relationships/package" Target="embeddings/Microsoft_Excel_Worksheet10.xlsx"/><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
      <w:docPartPr>
        <w:name w:val="AE0E5F6B08C64CC9BC3C946F3788397A"/>
        <w:category>
          <w:name w:val="General"/>
          <w:gallery w:val="placeholder"/>
        </w:category>
        <w:types>
          <w:type w:val="bbPlcHdr"/>
        </w:types>
        <w:behaviors>
          <w:behavior w:val="content"/>
        </w:behaviors>
        <w:guid w:val="{B605F3EA-CED1-40D4-B753-20F0BBD71846}"/>
      </w:docPartPr>
      <w:docPartBody>
        <w:p w:rsidR="00BA1CAA" w:rsidRDefault="00A60B80" w:rsidP="00A60B80">
          <w:pPr>
            <w:pStyle w:val="AE0E5F6B08C64CC9BC3C946F3788397A"/>
          </w:pPr>
          <w:r w:rsidRPr="00D1534C">
            <w:rPr>
              <w:rStyle w:val="PlaceholderText"/>
              <w:sz w:val="24"/>
            </w:rPr>
            <w:t>Choose an item.</w:t>
          </w:r>
        </w:p>
      </w:docPartBody>
    </w:docPart>
    <w:docPart>
      <w:docPartPr>
        <w:name w:val="ABF072676C90446EB4ACD1B797936152"/>
        <w:category>
          <w:name w:val="General"/>
          <w:gallery w:val="placeholder"/>
        </w:category>
        <w:types>
          <w:type w:val="bbPlcHdr"/>
        </w:types>
        <w:behaviors>
          <w:behavior w:val="content"/>
        </w:behaviors>
        <w:guid w:val="{0CF6579D-802C-44F0-9EE8-9220704838BA}"/>
      </w:docPartPr>
      <w:docPartBody>
        <w:p w:rsidR="00BA1CAA" w:rsidRDefault="00A60B80" w:rsidP="00A60B80">
          <w:pPr>
            <w:pStyle w:val="ABF072676C90446EB4ACD1B797936152"/>
          </w:pPr>
          <w:r w:rsidRPr="00D1534C">
            <w:rPr>
              <w:rStyle w:val="PlaceholderText"/>
              <w:sz w:val="24"/>
            </w:rPr>
            <w:t>Choose an item.</w:t>
          </w:r>
        </w:p>
      </w:docPartBody>
    </w:docPart>
    <w:docPart>
      <w:docPartPr>
        <w:name w:val="4D5CBFC033C845978BF451C50B0DCDDB"/>
        <w:category>
          <w:name w:val="General"/>
          <w:gallery w:val="placeholder"/>
        </w:category>
        <w:types>
          <w:type w:val="bbPlcHdr"/>
        </w:types>
        <w:behaviors>
          <w:behavior w:val="content"/>
        </w:behaviors>
        <w:guid w:val="{13E6632A-22DC-4349-BE89-D42CA91B2919}"/>
      </w:docPartPr>
      <w:docPartBody>
        <w:p w:rsidR="00BA1CAA" w:rsidRDefault="00A60B80" w:rsidP="00A60B80">
          <w:pPr>
            <w:pStyle w:val="4D5CBFC033C845978BF451C50B0DCDDB"/>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3A0A0E"/>
    <w:rsid w:val="00471CCB"/>
    <w:rsid w:val="0063401F"/>
    <w:rsid w:val="0064350A"/>
    <w:rsid w:val="00701167"/>
    <w:rsid w:val="00940BC5"/>
    <w:rsid w:val="00A040F8"/>
    <w:rsid w:val="00A60B80"/>
    <w:rsid w:val="00B721BC"/>
    <w:rsid w:val="00BA1CAA"/>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6a461f78-e7a2-485a-8a47-5fc604b04102"/>
    <ds:schemaRef ds:uri="f2eba182-dee2-4ca0-b750-68efdd396afc"/>
  </ds:schemaRefs>
</ds:datastoreItem>
</file>

<file path=customXml/itemProps2.xml><?xml version="1.0" encoding="utf-8"?>
<ds:datastoreItem xmlns:ds="http://schemas.openxmlformats.org/officeDocument/2006/customXml" ds:itemID="{BC8B7624-0525-4036-9F58-6B76514714C9}">
  <ds:schemaRefs>
    <ds:schemaRef ds:uri="http://schemas.openxmlformats.org/officeDocument/2006/bibliography"/>
  </ds:schemaRefs>
</ds:datastoreItem>
</file>

<file path=customXml/itemProps3.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4.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3165</Words>
  <Characters>18042</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Antony Pemberton - Information Governance Officer</cp:lastModifiedBy>
  <cp:revision>3</cp:revision>
  <dcterms:created xsi:type="dcterms:W3CDTF">2022-12-14T13:51:00Z</dcterms:created>
  <dcterms:modified xsi:type="dcterms:W3CDTF">2022-12-14T14:00:00Z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